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99A85" w14:textId="7DA631B9" w:rsidR="00FF199B" w:rsidRPr="00FF199B" w:rsidRDefault="008E0571" w:rsidP="00FF199B">
      <w:pPr>
        <w:pStyle w:val="HWPTITLE"/>
        <w:rPr>
          <w:rFonts w:eastAsia="MS Gothic"/>
        </w:rPr>
      </w:pPr>
      <w:bookmarkStart w:id="0" w:name="_GoBack"/>
      <w:r w:rsidRPr="00831E7C">
        <w:rPr>
          <w:rFonts w:eastAsia="MS Gothic"/>
        </w:rPr>
        <w:t xml:space="preserve">Joint and Muscle Pain </w:t>
      </w:r>
      <w:r w:rsidR="00831E7C" w:rsidRPr="00831E7C">
        <w:rPr>
          <w:rFonts w:eastAsia="MS Gothic"/>
        </w:rPr>
        <w:t>Resource Referral Guide</w:t>
      </w:r>
    </w:p>
    <w:bookmarkEnd w:id="0"/>
    <w:p w14:paraId="468EE7CA" w14:textId="6C242608" w:rsidR="00E92E5F" w:rsidRDefault="00E92E5F" w:rsidP="008E0571">
      <w:pPr>
        <w:pStyle w:val="HWPINTROTEXT"/>
        <w:rPr>
          <w:sz w:val="27"/>
          <w:szCs w:val="27"/>
        </w:rPr>
      </w:pPr>
      <w:r w:rsidRPr="008E0571">
        <w:rPr>
          <w:sz w:val="27"/>
          <w:szCs w:val="27"/>
        </w:rPr>
        <w:br/>
      </w:r>
      <w:r w:rsidR="00831E7C" w:rsidRPr="008E0571">
        <w:rPr>
          <w:sz w:val="27"/>
          <w:szCs w:val="27"/>
        </w:rPr>
        <w:t xml:space="preserve">This table lists a number of local and nationally recognised organisations that support workplaces and individuals around joint and muscle pain. </w:t>
      </w:r>
    </w:p>
    <w:p w14:paraId="735F0952" w14:textId="77777777" w:rsidR="00E92E5F" w:rsidRPr="00C82424" w:rsidRDefault="00E92E5F" w:rsidP="00E92E5F">
      <w:pPr>
        <w:pStyle w:val="HWPBODY"/>
        <w:rPr>
          <w:sz w:val="44"/>
          <w:szCs w:val="44"/>
        </w:rPr>
      </w:pPr>
    </w:p>
    <w:tbl>
      <w:tblPr>
        <w:tblStyle w:val="TableGrid"/>
        <w:tblW w:w="31568" w:type="dxa"/>
        <w:tblBorders>
          <w:top w:val="single" w:sz="2" w:space="0" w:color="475AA8"/>
          <w:left w:val="single" w:sz="2" w:space="0" w:color="475AA8"/>
          <w:bottom w:val="single" w:sz="2" w:space="0" w:color="475AA8"/>
          <w:right w:val="single" w:sz="2" w:space="0" w:color="475AA8"/>
          <w:insideH w:val="single" w:sz="2" w:space="0" w:color="475AA8"/>
          <w:insideV w:val="single" w:sz="2" w:space="0" w:color="475AA8"/>
        </w:tblBorders>
        <w:tblLook w:val="04A0" w:firstRow="1" w:lastRow="0" w:firstColumn="1" w:lastColumn="0" w:noHBand="0" w:noVBand="1"/>
      </w:tblPr>
      <w:tblGrid>
        <w:gridCol w:w="3969"/>
        <w:gridCol w:w="1276"/>
        <w:gridCol w:w="1276"/>
        <w:gridCol w:w="1276"/>
        <w:gridCol w:w="7935"/>
        <w:gridCol w:w="7918"/>
        <w:gridCol w:w="17"/>
        <w:gridCol w:w="7901"/>
      </w:tblGrid>
      <w:tr w:rsidR="008E0571" w14:paraId="2C4F04B3" w14:textId="77777777" w:rsidTr="008E0571">
        <w:trPr>
          <w:gridAfter w:val="3"/>
          <w:wAfter w:w="15836" w:type="dxa"/>
        </w:trPr>
        <w:tc>
          <w:tcPr>
            <w:tcW w:w="3969" w:type="dxa"/>
            <w:tcBorders>
              <w:top w:val="single" w:sz="2" w:space="0" w:color="475AA8"/>
              <w:left w:val="single" w:sz="2" w:space="0" w:color="475AA8"/>
              <w:bottom w:val="single" w:sz="2" w:space="0" w:color="475AA8"/>
            </w:tcBorders>
            <w:shd w:val="clear" w:color="auto" w:fill="475AA8"/>
            <w:tcMar>
              <w:top w:w="113" w:type="dxa"/>
              <w:left w:w="113" w:type="dxa"/>
              <w:bottom w:w="113" w:type="dxa"/>
              <w:right w:w="113" w:type="dxa"/>
            </w:tcMar>
          </w:tcPr>
          <w:p w14:paraId="1FF57FEF" w14:textId="40AAA808" w:rsidR="008E0571" w:rsidRPr="00EF47CF" w:rsidRDefault="008E0571" w:rsidP="008E0571">
            <w:pPr>
              <w:pStyle w:val="HWPTABLEHEADER"/>
              <w:rPr>
                <w:iCs/>
                <w:sz w:val="20"/>
              </w:rPr>
            </w:pPr>
            <w:r w:rsidRPr="00EF47CF">
              <w:rPr>
                <w:rFonts w:cs="Arial"/>
                <w:iCs/>
              </w:rPr>
              <w:t>Strategies</w:t>
            </w:r>
          </w:p>
        </w:tc>
        <w:tc>
          <w:tcPr>
            <w:tcW w:w="1276" w:type="dxa"/>
            <w:tcBorders>
              <w:top w:val="single" w:sz="2" w:space="0" w:color="475AA8"/>
              <w:bottom w:val="single" w:sz="2" w:space="0" w:color="475AA8"/>
            </w:tcBorders>
            <w:shd w:val="clear" w:color="auto" w:fill="475AA8"/>
            <w:tcMar>
              <w:top w:w="113" w:type="dxa"/>
              <w:left w:w="113" w:type="dxa"/>
              <w:bottom w:w="113" w:type="dxa"/>
              <w:right w:w="113" w:type="dxa"/>
            </w:tcMar>
          </w:tcPr>
          <w:p w14:paraId="2839B217" w14:textId="213CD31F" w:rsidR="008E0571" w:rsidRDefault="008E0571" w:rsidP="008E0571">
            <w:pPr>
              <w:pStyle w:val="HWPTABLEHEADER"/>
              <w:rPr>
                <w:color w:val="000000" w:themeColor="text1"/>
                <w:sz w:val="20"/>
              </w:rPr>
            </w:pPr>
            <w:r w:rsidRPr="00465335">
              <w:t xml:space="preserve">Healthy </w:t>
            </w:r>
            <w:r>
              <w:br/>
            </w:r>
            <w:r w:rsidRPr="00465335">
              <w:t>vision</w:t>
            </w:r>
          </w:p>
        </w:tc>
        <w:tc>
          <w:tcPr>
            <w:tcW w:w="1276" w:type="dxa"/>
            <w:tcBorders>
              <w:top w:val="single" w:sz="2" w:space="0" w:color="475AA8"/>
              <w:bottom w:val="single" w:sz="2" w:space="0" w:color="475AA8"/>
            </w:tcBorders>
            <w:shd w:val="clear" w:color="auto" w:fill="475AA8"/>
            <w:tcMar>
              <w:top w:w="113" w:type="dxa"/>
              <w:left w:w="113" w:type="dxa"/>
              <w:bottom w:w="113" w:type="dxa"/>
              <w:right w:w="113" w:type="dxa"/>
            </w:tcMar>
          </w:tcPr>
          <w:p w14:paraId="4871F405" w14:textId="733C6E3D" w:rsidR="008E0571" w:rsidRDefault="008E0571" w:rsidP="008E0571">
            <w:pPr>
              <w:pStyle w:val="HWPTABLEHEADER"/>
              <w:rPr>
                <w:color w:val="000000" w:themeColor="text1"/>
                <w:sz w:val="20"/>
              </w:rPr>
            </w:pPr>
            <w:r w:rsidRPr="00465335">
              <w:t xml:space="preserve">Healthy </w:t>
            </w:r>
            <w:r>
              <w:br/>
            </w:r>
            <w:r w:rsidRPr="00465335">
              <w:t>places</w:t>
            </w:r>
          </w:p>
        </w:tc>
        <w:tc>
          <w:tcPr>
            <w:tcW w:w="1276" w:type="dxa"/>
            <w:tcBorders>
              <w:top w:val="single" w:sz="2" w:space="0" w:color="475AA8"/>
              <w:bottom w:val="single" w:sz="2" w:space="0" w:color="475AA8"/>
              <w:right w:val="nil"/>
            </w:tcBorders>
            <w:shd w:val="clear" w:color="auto" w:fill="475AA8"/>
            <w:tcMar>
              <w:top w:w="113" w:type="dxa"/>
              <w:left w:w="113" w:type="dxa"/>
              <w:bottom w:w="113" w:type="dxa"/>
              <w:right w:w="113" w:type="dxa"/>
            </w:tcMar>
          </w:tcPr>
          <w:p w14:paraId="56AB5196" w14:textId="6600A9B3" w:rsidR="008E0571" w:rsidRDefault="008E0571" w:rsidP="008E0571">
            <w:pPr>
              <w:pStyle w:val="HWPTABLEHEADER"/>
              <w:rPr>
                <w:color w:val="000000" w:themeColor="text1"/>
                <w:sz w:val="20"/>
              </w:rPr>
            </w:pPr>
            <w:r w:rsidRPr="00465335">
              <w:t xml:space="preserve">Healthy </w:t>
            </w:r>
            <w:r>
              <w:br/>
            </w:r>
            <w:r w:rsidRPr="00465335">
              <w:t>peopl</w:t>
            </w:r>
            <w:r>
              <w:t>e</w:t>
            </w:r>
          </w:p>
        </w:tc>
        <w:tc>
          <w:tcPr>
            <w:tcW w:w="7935" w:type="dxa"/>
            <w:tcBorders>
              <w:top w:val="nil"/>
              <w:left w:val="nil"/>
              <w:bottom w:val="single" w:sz="2" w:space="0" w:color="475AA8"/>
              <w:right w:val="nil"/>
            </w:tcBorders>
            <w:shd w:val="clear" w:color="auto" w:fill="475AA8"/>
            <w:tcMar>
              <w:top w:w="113" w:type="dxa"/>
              <w:left w:w="113" w:type="dxa"/>
              <w:bottom w:w="113" w:type="dxa"/>
              <w:right w:w="113" w:type="dxa"/>
            </w:tcMar>
          </w:tcPr>
          <w:p w14:paraId="0565C54E" w14:textId="0C348097" w:rsidR="008E0571" w:rsidRPr="003C58A7" w:rsidRDefault="008E0571" w:rsidP="008E0571">
            <w:pPr>
              <w:pStyle w:val="HWPTABLEHEADER"/>
              <w:rPr>
                <w:color w:val="000000" w:themeColor="text1"/>
                <w:szCs w:val="18"/>
              </w:rPr>
            </w:pPr>
            <w:r>
              <w:t xml:space="preserve"> resources</w:t>
            </w:r>
          </w:p>
        </w:tc>
      </w:tr>
      <w:tr w:rsidR="003C58A7" w14:paraId="4E1A18F4" w14:textId="77777777" w:rsidTr="008E0571">
        <w:trPr>
          <w:gridAfter w:val="3"/>
          <w:wAfter w:w="15836" w:type="dxa"/>
        </w:trPr>
        <w:tc>
          <w:tcPr>
            <w:tcW w:w="3969" w:type="dxa"/>
            <w:tcBorders>
              <w:top w:val="single" w:sz="2" w:space="0" w:color="475AA8"/>
            </w:tcBorders>
            <w:tcMar>
              <w:top w:w="113" w:type="dxa"/>
              <w:left w:w="113" w:type="dxa"/>
              <w:bottom w:w="113" w:type="dxa"/>
              <w:right w:w="113" w:type="dxa"/>
            </w:tcMar>
          </w:tcPr>
          <w:p w14:paraId="6E7405D1" w14:textId="1A3F2988" w:rsidR="003C58A7" w:rsidRPr="008E0571" w:rsidRDefault="003C58A7" w:rsidP="00AC07E2">
            <w:pPr>
              <w:pStyle w:val="HWPBODY"/>
              <w:rPr>
                <w:rFonts w:eastAsia="Arial"/>
                <w:lang w:val="en-US"/>
              </w:rPr>
            </w:pPr>
            <w:r w:rsidRPr="008E0571">
              <w:rPr>
                <w:rFonts w:eastAsia="Arial"/>
                <w:lang w:val="en-US"/>
              </w:rPr>
              <w:t xml:space="preserve">Develop a policy and procedure to identify and </w:t>
            </w:r>
            <w:r w:rsidRPr="00AC07E2">
              <w:t>manage MSD risks in the workplace. The policy and procedure should be developed in consultation with workers and include: both physical and psychosocial hazards; outline access to appropriate and timely treatment; and provide</w:t>
            </w:r>
            <w:r w:rsidRPr="008E0571">
              <w:rPr>
                <w:rFonts w:eastAsia="Arial"/>
                <w:lang w:val="en-US"/>
              </w:rPr>
              <w:t xml:space="preserve"> suitable duties, claim lodgment and support for remaining at or returning to work.</w:t>
            </w:r>
          </w:p>
        </w:tc>
        <w:tc>
          <w:tcPr>
            <w:tcW w:w="1276" w:type="dxa"/>
            <w:tcBorders>
              <w:top w:val="single" w:sz="2" w:space="0" w:color="475AA8"/>
            </w:tcBorders>
            <w:tcMar>
              <w:top w:w="113" w:type="dxa"/>
              <w:left w:w="113" w:type="dxa"/>
              <w:bottom w:w="113" w:type="dxa"/>
              <w:right w:w="113" w:type="dxa"/>
            </w:tcMar>
            <w:vAlign w:val="center"/>
          </w:tcPr>
          <w:p w14:paraId="74100501" w14:textId="49E0308C" w:rsidR="003C58A7" w:rsidRPr="006D476F" w:rsidRDefault="003C58A7" w:rsidP="003C58A7">
            <w:pPr>
              <w:pStyle w:val="HWPBODY"/>
              <w:jc w:val="center"/>
              <w:rPr>
                <w:color w:val="475AA8"/>
                <w:sz w:val="36"/>
                <w:szCs w:val="36"/>
              </w:rPr>
            </w:pPr>
            <w:r w:rsidRPr="006D476F">
              <w:rPr>
                <w:color w:val="475AA8"/>
                <w:sz w:val="36"/>
                <w:szCs w:val="36"/>
              </w:rPr>
              <w:t>•</w:t>
            </w:r>
          </w:p>
        </w:tc>
        <w:tc>
          <w:tcPr>
            <w:tcW w:w="1276" w:type="dxa"/>
            <w:tcBorders>
              <w:top w:val="single" w:sz="2" w:space="0" w:color="475AA8"/>
            </w:tcBorders>
            <w:tcMar>
              <w:top w:w="113" w:type="dxa"/>
              <w:left w:w="113" w:type="dxa"/>
              <w:bottom w:w="113" w:type="dxa"/>
              <w:right w:w="113" w:type="dxa"/>
            </w:tcMar>
            <w:vAlign w:val="center"/>
          </w:tcPr>
          <w:p w14:paraId="259CEEBA" w14:textId="77777777" w:rsidR="003C58A7" w:rsidRDefault="003C58A7" w:rsidP="003C58A7">
            <w:pPr>
              <w:pStyle w:val="HWPBODY"/>
              <w:jc w:val="center"/>
            </w:pPr>
          </w:p>
        </w:tc>
        <w:tc>
          <w:tcPr>
            <w:tcW w:w="1276" w:type="dxa"/>
            <w:tcBorders>
              <w:top w:val="single" w:sz="2" w:space="0" w:color="475AA8"/>
            </w:tcBorders>
            <w:tcMar>
              <w:top w:w="113" w:type="dxa"/>
              <w:left w:w="113" w:type="dxa"/>
              <w:bottom w:w="113" w:type="dxa"/>
              <w:right w:w="113" w:type="dxa"/>
            </w:tcMar>
            <w:vAlign w:val="center"/>
          </w:tcPr>
          <w:p w14:paraId="107F16B0" w14:textId="77777777" w:rsidR="003C58A7" w:rsidRDefault="003C58A7" w:rsidP="003C58A7">
            <w:pPr>
              <w:pStyle w:val="HWPBODY"/>
              <w:jc w:val="center"/>
            </w:pPr>
          </w:p>
        </w:tc>
        <w:tc>
          <w:tcPr>
            <w:tcW w:w="7935" w:type="dxa"/>
            <w:tcBorders>
              <w:top w:val="single" w:sz="2" w:space="0" w:color="475AA8"/>
            </w:tcBorders>
            <w:tcMar>
              <w:top w:w="113" w:type="dxa"/>
              <w:left w:w="113" w:type="dxa"/>
              <w:bottom w:w="113" w:type="dxa"/>
              <w:right w:w="113" w:type="dxa"/>
            </w:tcMar>
          </w:tcPr>
          <w:p w14:paraId="22F70D8E" w14:textId="2D9AD97D" w:rsidR="008E0571" w:rsidRPr="00AC07E2" w:rsidRDefault="00D6575F" w:rsidP="00AC07E2">
            <w:pPr>
              <w:pStyle w:val="HWPBODY"/>
              <w:rPr>
                <w:rStyle w:val="Hyperlink2"/>
              </w:rPr>
            </w:pPr>
            <w:hyperlink r:id="rId8" w:history="1">
              <w:r w:rsidR="003C58A7" w:rsidRPr="00AC07E2">
                <w:rPr>
                  <w:rStyle w:val="Hyperlink2"/>
                </w:rPr>
                <w:t>OHS risk management toolkit | APHIRM toolkit</w:t>
              </w:r>
            </w:hyperlink>
          </w:p>
          <w:p w14:paraId="5A50AF44" w14:textId="6610CD24" w:rsidR="003C58A7" w:rsidRPr="00AC07E2" w:rsidRDefault="00D6575F" w:rsidP="00AC07E2">
            <w:pPr>
              <w:pStyle w:val="HWPBODY"/>
              <w:rPr>
                <w:rStyle w:val="Hyperlink2"/>
              </w:rPr>
            </w:pPr>
            <w:hyperlink r:id="rId9" w:history="1">
              <w:r w:rsidR="003C58A7" w:rsidRPr="00AC07E2">
                <w:rPr>
                  <w:rStyle w:val="Hyperlink2"/>
                </w:rPr>
                <w:t>Model Code of Practice: Hazardous manual tasks (safeworkaustralia.gov.au)</w:t>
              </w:r>
            </w:hyperlink>
            <w:r w:rsidR="003C58A7" w:rsidRPr="00AC07E2">
              <w:rPr>
                <w:rStyle w:val="Hyperlink2"/>
              </w:rPr>
              <w:t xml:space="preserve"> </w:t>
            </w:r>
          </w:p>
          <w:p w14:paraId="10607747" w14:textId="03BF89A9" w:rsidR="008E0571" w:rsidRPr="00AC07E2" w:rsidRDefault="00D6575F" w:rsidP="00AC07E2">
            <w:pPr>
              <w:pStyle w:val="HWPBODY"/>
              <w:rPr>
                <w:rStyle w:val="Hyperlink2"/>
              </w:rPr>
            </w:pPr>
            <w:hyperlink r:id="rId10" w:history="1">
              <w:r w:rsidR="003C58A7" w:rsidRPr="00AC07E2">
                <w:rPr>
                  <w:rStyle w:val="Hyperlink2"/>
                </w:rPr>
                <w:t>Return to Work Coordinators (rtwsa.com)</w:t>
              </w:r>
            </w:hyperlink>
          </w:p>
          <w:p w14:paraId="6B99975F" w14:textId="0D1F45A5" w:rsidR="003C58A7" w:rsidRPr="00AC07E2" w:rsidRDefault="00D6575F" w:rsidP="00AC07E2">
            <w:pPr>
              <w:pStyle w:val="HWPBODY"/>
              <w:rPr>
                <w:rStyle w:val="Hyperlink2"/>
              </w:rPr>
            </w:pPr>
            <w:hyperlink r:id="rId11" w:history="1">
              <w:r w:rsidR="003C58A7" w:rsidRPr="00AC07E2">
                <w:rPr>
                  <w:rStyle w:val="Hyperlink2"/>
                </w:rPr>
                <w:t>National Return to Work Strategy | Safe Work Australia</w:t>
              </w:r>
            </w:hyperlink>
          </w:p>
          <w:p w14:paraId="43C7411F" w14:textId="6460AB54" w:rsidR="003C58A7" w:rsidRPr="00AC07E2" w:rsidRDefault="00D6575F" w:rsidP="00AC07E2">
            <w:pPr>
              <w:pStyle w:val="HWPBODY"/>
            </w:pPr>
            <w:hyperlink r:id="rId12" w:history="1">
              <w:r w:rsidR="003C58A7" w:rsidRPr="00AC07E2">
                <w:rPr>
                  <w:rStyle w:val="Hyperlink2"/>
                </w:rPr>
                <w:t>model_code_of_practice_-_managing_psychosocial_hazards_at_work_25082022_0.pdf (safeworkaustralia.gov.au)</w:t>
              </w:r>
            </w:hyperlink>
            <w:r w:rsidR="003C58A7" w:rsidRPr="00AC07E2">
              <w:t xml:space="preserve"> </w:t>
            </w:r>
          </w:p>
        </w:tc>
      </w:tr>
      <w:tr w:rsidR="003C58A7" w14:paraId="7FF8AD43" w14:textId="77777777" w:rsidTr="00831E7C">
        <w:trPr>
          <w:gridAfter w:val="3"/>
          <w:wAfter w:w="15836" w:type="dxa"/>
        </w:trPr>
        <w:tc>
          <w:tcPr>
            <w:tcW w:w="3969" w:type="dxa"/>
            <w:tcMar>
              <w:top w:w="113" w:type="dxa"/>
              <w:left w:w="113" w:type="dxa"/>
              <w:bottom w:w="113" w:type="dxa"/>
              <w:right w:w="113" w:type="dxa"/>
            </w:tcMar>
          </w:tcPr>
          <w:p w14:paraId="5A3C288C" w14:textId="4F346833" w:rsidR="003C58A7" w:rsidRPr="00AC07E2" w:rsidRDefault="003C58A7" w:rsidP="00AC07E2">
            <w:pPr>
              <w:pStyle w:val="HWPBODY"/>
            </w:pPr>
            <w:r w:rsidRPr="00AC07E2">
              <w:t>Develop a policy and procedure for reasonably accommodating non-work related MSDs that takes into account the health benefits of work and fosters an inclusive workplace.</w:t>
            </w:r>
          </w:p>
        </w:tc>
        <w:tc>
          <w:tcPr>
            <w:tcW w:w="1276" w:type="dxa"/>
            <w:tcMar>
              <w:top w:w="113" w:type="dxa"/>
              <w:left w:w="113" w:type="dxa"/>
              <w:bottom w:w="113" w:type="dxa"/>
              <w:right w:w="113" w:type="dxa"/>
            </w:tcMar>
            <w:vAlign w:val="center"/>
          </w:tcPr>
          <w:p w14:paraId="50EC6FE1" w14:textId="77777777" w:rsidR="003C58A7" w:rsidRDefault="003C58A7" w:rsidP="003C58A7">
            <w:pPr>
              <w:pStyle w:val="HWPTABLESMALL"/>
              <w:jc w:val="center"/>
            </w:pPr>
            <w:r w:rsidRPr="006D476F">
              <w:rPr>
                <w:color w:val="475AA8"/>
                <w:sz w:val="36"/>
                <w:szCs w:val="36"/>
              </w:rPr>
              <w:t>•</w:t>
            </w:r>
          </w:p>
        </w:tc>
        <w:tc>
          <w:tcPr>
            <w:tcW w:w="1276" w:type="dxa"/>
            <w:tcMar>
              <w:top w:w="113" w:type="dxa"/>
              <w:left w:w="113" w:type="dxa"/>
              <w:bottom w:w="113" w:type="dxa"/>
              <w:right w:w="113" w:type="dxa"/>
            </w:tcMar>
            <w:vAlign w:val="center"/>
          </w:tcPr>
          <w:p w14:paraId="198CEF98" w14:textId="77777777" w:rsidR="003C58A7" w:rsidRDefault="003C58A7" w:rsidP="003C58A7">
            <w:pPr>
              <w:pStyle w:val="HWPTABLESMALL"/>
              <w:jc w:val="center"/>
            </w:pPr>
          </w:p>
        </w:tc>
        <w:tc>
          <w:tcPr>
            <w:tcW w:w="1276" w:type="dxa"/>
            <w:tcMar>
              <w:top w:w="113" w:type="dxa"/>
              <w:left w:w="113" w:type="dxa"/>
              <w:bottom w:w="113" w:type="dxa"/>
              <w:right w:w="113" w:type="dxa"/>
            </w:tcMar>
          </w:tcPr>
          <w:p w14:paraId="4ED0606D" w14:textId="77777777" w:rsidR="003C58A7" w:rsidRDefault="003C58A7" w:rsidP="003C58A7">
            <w:pPr>
              <w:pStyle w:val="HWPTABLESMALL"/>
              <w:jc w:val="center"/>
            </w:pPr>
          </w:p>
        </w:tc>
        <w:tc>
          <w:tcPr>
            <w:tcW w:w="7935" w:type="dxa"/>
            <w:tcMar>
              <w:top w:w="113" w:type="dxa"/>
              <w:left w:w="113" w:type="dxa"/>
              <w:bottom w:w="113" w:type="dxa"/>
              <w:right w:w="113" w:type="dxa"/>
            </w:tcMar>
          </w:tcPr>
          <w:p w14:paraId="42B69EA7" w14:textId="5C4CE5F8" w:rsidR="008E0571" w:rsidRPr="00AC07E2" w:rsidRDefault="00D6575F" w:rsidP="00AC07E2">
            <w:pPr>
              <w:pStyle w:val="HWPBODY"/>
              <w:rPr>
                <w:rStyle w:val="Hyperlink2"/>
              </w:rPr>
            </w:pPr>
            <w:hyperlink r:id="rId13" w:history="1">
              <w:r w:rsidR="008E0571" w:rsidRPr="00AC07E2">
                <w:rPr>
                  <w:rStyle w:val="Hyperlink2"/>
                </w:rPr>
                <w:t>Disability and the workplace | Victorian Equal Opportunity and Human Rights Commission</w:t>
              </w:r>
            </w:hyperlink>
          </w:p>
          <w:p w14:paraId="09475C8A" w14:textId="33298E82" w:rsidR="008E0571" w:rsidRPr="00AC07E2" w:rsidRDefault="00D6575F" w:rsidP="00AC07E2">
            <w:pPr>
              <w:pStyle w:val="HWPBODY"/>
              <w:rPr>
                <w:rStyle w:val="Hyperlink2"/>
              </w:rPr>
            </w:pPr>
            <w:hyperlink r:id="rId14" w:history="1">
              <w:r w:rsidR="008E0571" w:rsidRPr="00AC07E2">
                <w:rPr>
                  <w:rStyle w:val="Hyperlink2"/>
                </w:rPr>
                <w:t>https://www.youtube.com/watch?v=i_W6XfUTM5Y</w:t>
              </w:r>
            </w:hyperlink>
            <w:r w:rsidR="008E0571" w:rsidRPr="00AC07E2">
              <w:rPr>
                <w:rStyle w:val="Hyperlink2"/>
              </w:rPr>
              <w:t xml:space="preserve"> </w:t>
            </w:r>
          </w:p>
          <w:p w14:paraId="14EEA0D2" w14:textId="721F3B0E" w:rsidR="008E0571" w:rsidRPr="00AC07E2" w:rsidRDefault="00D6575F" w:rsidP="00AC07E2">
            <w:pPr>
              <w:pStyle w:val="HWPBODY"/>
              <w:rPr>
                <w:rStyle w:val="Hyperlink2"/>
              </w:rPr>
            </w:pPr>
            <w:hyperlink r:id="rId15" w:history="1">
              <w:r w:rsidR="008E0571" w:rsidRPr="00AC07E2">
                <w:rPr>
                  <w:rStyle w:val="Hyperlink2"/>
                </w:rPr>
                <w:t>https://www.equalopportunity.sa.gov.au/</w:t>
              </w:r>
            </w:hyperlink>
          </w:p>
          <w:p w14:paraId="372E22C5" w14:textId="0F3AF5FC" w:rsidR="008E0571" w:rsidRPr="00AC07E2" w:rsidRDefault="00D6575F" w:rsidP="00AC07E2">
            <w:pPr>
              <w:pStyle w:val="HWPBODY"/>
            </w:pPr>
            <w:hyperlink r:id="rId16" w:history="1">
              <w:r w:rsidR="008E0571" w:rsidRPr="00AC07E2">
                <w:rPr>
                  <w:rStyle w:val="Hyperlink2"/>
                </w:rPr>
                <w:t>https://humanrights.gov.au/quick-guide/12084</w:t>
              </w:r>
            </w:hyperlink>
          </w:p>
        </w:tc>
      </w:tr>
      <w:tr w:rsidR="003C58A7" w14:paraId="68654B09" w14:textId="77777777" w:rsidTr="00831E7C">
        <w:trPr>
          <w:gridAfter w:val="3"/>
          <w:wAfter w:w="15836" w:type="dxa"/>
        </w:trPr>
        <w:tc>
          <w:tcPr>
            <w:tcW w:w="3969" w:type="dxa"/>
            <w:tcMar>
              <w:top w:w="113" w:type="dxa"/>
              <w:left w:w="113" w:type="dxa"/>
              <w:bottom w:w="113" w:type="dxa"/>
              <w:right w:w="113" w:type="dxa"/>
            </w:tcMar>
          </w:tcPr>
          <w:p w14:paraId="62D9B1B1" w14:textId="44D0A833" w:rsidR="003C58A7" w:rsidRPr="00AC07E2" w:rsidRDefault="003C58A7" w:rsidP="00AC07E2">
            <w:pPr>
              <w:pStyle w:val="HWPBODY"/>
            </w:pPr>
            <w:r w:rsidRPr="00AC07E2">
              <w:lastRenderedPageBreak/>
              <w:t>Work with a Certified Professional Ergonomist to support the design of systems (e.g. tasks, jobs, products, procedures and processes, environments) so that both the system and people can work effectively.</w:t>
            </w:r>
          </w:p>
        </w:tc>
        <w:tc>
          <w:tcPr>
            <w:tcW w:w="1276" w:type="dxa"/>
            <w:tcMar>
              <w:top w:w="113" w:type="dxa"/>
              <w:left w:w="113" w:type="dxa"/>
              <w:bottom w:w="113" w:type="dxa"/>
              <w:right w:w="113" w:type="dxa"/>
            </w:tcMar>
            <w:vAlign w:val="center"/>
          </w:tcPr>
          <w:p w14:paraId="5482C617" w14:textId="1864D048" w:rsidR="003C58A7" w:rsidRPr="006D476F" w:rsidRDefault="003C58A7" w:rsidP="003C58A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vAlign w:val="center"/>
          </w:tcPr>
          <w:p w14:paraId="37F644AF" w14:textId="77777777" w:rsidR="003C58A7" w:rsidRDefault="003C58A7" w:rsidP="003C58A7">
            <w:pPr>
              <w:pStyle w:val="HWPTABLESMALL"/>
              <w:jc w:val="center"/>
            </w:pPr>
          </w:p>
        </w:tc>
        <w:tc>
          <w:tcPr>
            <w:tcW w:w="1276" w:type="dxa"/>
            <w:tcMar>
              <w:top w:w="113" w:type="dxa"/>
              <w:left w:w="113" w:type="dxa"/>
              <w:bottom w:w="113" w:type="dxa"/>
              <w:right w:w="113" w:type="dxa"/>
            </w:tcMar>
          </w:tcPr>
          <w:p w14:paraId="7DB5CFBA" w14:textId="77777777" w:rsidR="003C58A7" w:rsidRDefault="003C58A7" w:rsidP="003C58A7">
            <w:pPr>
              <w:pStyle w:val="HWPTABLESMALL"/>
              <w:jc w:val="center"/>
            </w:pPr>
          </w:p>
        </w:tc>
        <w:tc>
          <w:tcPr>
            <w:tcW w:w="7935" w:type="dxa"/>
            <w:tcMar>
              <w:top w:w="113" w:type="dxa"/>
              <w:left w:w="113" w:type="dxa"/>
              <w:bottom w:w="113" w:type="dxa"/>
              <w:right w:w="113" w:type="dxa"/>
            </w:tcMar>
          </w:tcPr>
          <w:p w14:paraId="42EF10D3" w14:textId="797ACA80" w:rsidR="003C58A7" w:rsidRPr="00AC07E2" w:rsidRDefault="00D6575F" w:rsidP="00AC07E2">
            <w:pPr>
              <w:pStyle w:val="HWPBODY"/>
              <w:rPr>
                <w:rStyle w:val="Hyperlink2"/>
              </w:rPr>
            </w:pPr>
            <w:hyperlink r:id="rId17" w:history="1">
              <w:r w:rsidR="003C58A7" w:rsidRPr="00AC07E2">
                <w:rPr>
                  <w:rStyle w:val="Hyperlink2"/>
                </w:rPr>
                <w:t>Human Factors and Ergonomics Society of Australia</w:t>
              </w:r>
            </w:hyperlink>
          </w:p>
        </w:tc>
      </w:tr>
      <w:tr w:rsidR="003C58A7" w14:paraId="762A43D2" w14:textId="77777777" w:rsidTr="003C58A7">
        <w:trPr>
          <w:gridAfter w:val="3"/>
          <w:wAfter w:w="15836" w:type="dxa"/>
        </w:trPr>
        <w:tc>
          <w:tcPr>
            <w:tcW w:w="3969" w:type="dxa"/>
            <w:tcMar>
              <w:top w:w="113" w:type="dxa"/>
              <w:left w:w="113" w:type="dxa"/>
              <w:bottom w:w="113" w:type="dxa"/>
              <w:right w:w="113" w:type="dxa"/>
            </w:tcMar>
          </w:tcPr>
          <w:p w14:paraId="4BFFB9F7" w14:textId="77777777" w:rsidR="003C58A7" w:rsidRPr="008E0571" w:rsidRDefault="003C58A7" w:rsidP="00AC07E2">
            <w:pPr>
              <w:pStyle w:val="HWPBODY"/>
              <w:rPr>
                <w:rFonts w:eastAsia="Arial"/>
                <w:lang w:val="en-US"/>
              </w:rPr>
            </w:pPr>
            <w:r w:rsidRPr="008E0571">
              <w:rPr>
                <w:rFonts w:eastAsia="Arial"/>
                <w:lang w:val="en-US"/>
              </w:rPr>
              <w:t xml:space="preserve">Set-up a work health safety and wellbeing committee and have them meet regularly to discuss concerns and potential improvements. Make sure the committee is diverse and channels of communication for decision making are clear. </w:t>
            </w:r>
          </w:p>
          <w:p w14:paraId="0FDCB050" w14:textId="2C8E1412" w:rsidR="003C58A7" w:rsidRPr="008E0571" w:rsidRDefault="003C58A7" w:rsidP="00AC07E2">
            <w:pPr>
              <w:pStyle w:val="HWPBODY"/>
              <w:rPr>
                <w:bCs/>
              </w:rPr>
            </w:pPr>
            <w:r w:rsidRPr="008E0571">
              <w:rPr>
                <w:rFonts w:eastAsia="Arial"/>
                <w:lang w:val="en-US"/>
              </w:rPr>
              <w:t>Keep a record of these meetings.</w:t>
            </w:r>
          </w:p>
        </w:tc>
        <w:tc>
          <w:tcPr>
            <w:tcW w:w="1276" w:type="dxa"/>
            <w:tcMar>
              <w:top w:w="113" w:type="dxa"/>
              <w:left w:w="113" w:type="dxa"/>
              <w:bottom w:w="113" w:type="dxa"/>
              <w:right w:w="113" w:type="dxa"/>
            </w:tcMar>
            <w:vAlign w:val="center"/>
          </w:tcPr>
          <w:p w14:paraId="2064B3B9" w14:textId="66B859A8" w:rsidR="003C58A7" w:rsidRPr="006D476F" w:rsidRDefault="003C58A7" w:rsidP="003C58A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vAlign w:val="center"/>
          </w:tcPr>
          <w:p w14:paraId="524F7EB2" w14:textId="77777777" w:rsidR="003C58A7" w:rsidRDefault="003C58A7" w:rsidP="003C58A7">
            <w:pPr>
              <w:pStyle w:val="HWPTABLESMALL"/>
              <w:jc w:val="center"/>
            </w:pPr>
          </w:p>
        </w:tc>
        <w:tc>
          <w:tcPr>
            <w:tcW w:w="1276" w:type="dxa"/>
            <w:tcMar>
              <w:top w:w="113" w:type="dxa"/>
              <w:left w:w="113" w:type="dxa"/>
              <w:bottom w:w="113" w:type="dxa"/>
              <w:right w:w="113" w:type="dxa"/>
            </w:tcMar>
          </w:tcPr>
          <w:p w14:paraId="4EBC5F3C" w14:textId="77777777" w:rsidR="003C58A7" w:rsidRDefault="003C58A7" w:rsidP="003C58A7">
            <w:pPr>
              <w:pStyle w:val="HWPTABLESMALL"/>
              <w:jc w:val="center"/>
            </w:pPr>
          </w:p>
        </w:tc>
        <w:tc>
          <w:tcPr>
            <w:tcW w:w="7935" w:type="dxa"/>
            <w:shd w:val="clear" w:color="auto" w:fill="auto"/>
            <w:tcMar>
              <w:top w:w="113" w:type="dxa"/>
              <w:left w:w="113" w:type="dxa"/>
              <w:bottom w:w="113" w:type="dxa"/>
              <w:right w:w="113" w:type="dxa"/>
            </w:tcMar>
          </w:tcPr>
          <w:p w14:paraId="2B9E6235" w14:textId="610A31AC" w:rsidR="003C58A7" w:rsidRPr="00AC07E2" w:rsidRDefault="003C58A7" w:rsidP="00AC07E2">
            <w:pPr>
              <w:pStyle w:val="HWPBODY"/>
            </w:pPr>
            <w:r w:rsidRPr="00AC07E2">
              <w:t xml:space="preserve">As above – worker consultation </w:t>
            </w:r>
          </w:p>
        </w:tc>
      </w:tr>
      <w:tr w:rsidR="003C58A7" w14:paraId="2901FD88" w14:textId="77777777" w:rsidTr="00831E7C">
        <w:trPr>
          <w:gridAfter w:val="3"/>
          <w:wAfter w:w="15836" w:type="dxa"/>
        </w:trPr>
        <w:tc>
          <w:tcPr>
            <w:tcW w:w="3969" w:type="dxa"/>
            <w:tcMar>
              <w:top w:w="113" w:type="dxa"/>
              <w:left w:w="113" w:type="dxa"/>
              <w:bottom w:w="113" w:type="dxa"/>
              <w:right w:w="113" w:type="dxa"/>
            </w:tcMar>
          </w:tcPr>
          <w:p w14:paraId="55CD156E" w14:textId="1E77243C" w:rsidR="003C58A7" w:rsidRPr="008E0571" w:rsidRDefault="003C58A7" w:rsidP="00AC07E2">
            <w:pPr>
              <w:pStyle w:val="HWPBODY"/>
              <w:rPr>
                <w:bCs/>
              </w:rPr>
            </w:pPr>
            <w:r w:rsidRPr="008E0571">
              <w:rPr>
                <w:rFonts w:eastAsia="Arial"/>
                <w:lang w:val="en-US"/>
              </w:rPr>
              <w:t>Follow the hierarchy of risk controls when implementing changes and make sure to consult all affected staff members throughout the change process. It can be helpful to trial interventions and obtain feedback before officially adopting them.</w:t>
            </w:r>
          </w:p>
        </w:tc>
        <w:tc>
          <w:tcPr>
            <w:tcW w:w="1276" w:type="dxa"/>
            <w:tcMar>
              <w:top w:w="113" w:type="dxa"/>
              <w:left w:w="113" w:type="dxa"/>
              <w:bottom w:w="113" w:type="dxa"/>
              <w:right w:w="113" w:type="dxa"/>
            </w:tcMar>
            <w:vAlign w:val="center"/>
          </w:tcPr>
          <w:p w14:paraId="37BBEF62" w14:textId="0CC9FA3C" w:rsidR="003C58A7" w:rsidRPr="006D476F" w:rsidRDefault="003C58A7" w:rsidP="003C58A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vAlign w:val="center"/>
          </w:tcPr>
          <w:p w14:paraId="3FDB54F3" w14:textId="77777777" w:rsidR="003C58A7" w:rsidRDefault="003C58A7" w:rsidP="003C58A7">
            <w:pPr>
              <w:pStyle w:val="HWPTABLESMALL"/>
              <w:jc w:val="center"/>
            </w:pPr>
          </w:p>
        </w:tc>
        <w:tc>
          <w:tcPr>
            <w:tcW w:w="1276" w:type="dxa"/>
            <w:tcMar>
              <w:top w:w="113" w:type="dxa"/>
              <w:left w:w="113" w:type="dxa"/>
              <w:bottom w:w="113" w:type="dxa"/>
              <w:right w:w="113" w:type="dxa"/>
            </w:tcMar>
          </w:tcPr>
          <w:p w14:paraId="5C56B9A7" w14:textId="77777777" w:rsidR="003C58A7" w:rsidRDefault="003C58A7" w:rsidP="003C58A7">
            <w:pPr>
              <w:pStyle w:val="HWPTABLESMALL"/>
              <w:jc w:val="center"/>
            </w:pPr>
          </w:p>
        </w:tc>
        <w:tc>
          <w:tcPr>
            <w:tcW w:w="7935" w:type="dxa"/>
            <w:tcMar>
              <w:top w:w="113" w:type="dxa"/>
              <w:left w:w="113" w:type="dxa"/>
              <w:bottom w:w="113" w:type="dxa"/>
              <w:right w:w="113" w:type="dxa"/>
            </w:tcMar>
          </w:tcPr>
          <w:p w14:paraId="061D3189" w14:textId="71639064" w:rsidR="003C58A7" w:rsidRPr="00AC07E2" w:rsidRDefault="00D6575F" w:rsidP="00AC07E2">
            <w:pPr>
              <w:pStyle w:val="HWPBODY"/>
              <w:rPr>
                <w:rStyle w:val="Hyperlink2"/>
              </w:rPr>
            </w:pPr>
            <w:hyperlink r:id="rId18" w:history="1">
              <w:r w:rsidR="003C58A7" w:rsidRPr="00AC07E2">
                <w:rPr>
                  <w:rStyle w:val="Hyperlink2"/>
                </w:rPr>
                <w:t>Managing risks | Safe Work Australia</w:t>
              </w:r>
            </w:hyperlink>
          </w:p>
        </w:tc>
      </w:tr>
      <w:tr w:rsidR="003C58A7" w14:paraId="722B6119" w14:textId="77777777" w:rsidTr="00831E7C">
        <w:trPr>
          <w:gridAfter w:val="3"/>
          <w:wAfter w:w="15836" w:type="dxa"/>
        </w:trPr>
        <w:tc>
          <w:tcPr>
            <w:tcW w:w="3969" w:type="dxa"/>
            <w:tcMar>
              <w:top w:w="113" w:type="dxa"/>
              <w:left w:w="113" w:type="dxa"/>
              <w:bottom w:w="113" w:type="dxa"/>
              <w:right w:w="113" w:type="dxa"/>
            </w:tcMar>
          </w:tcPr>
          <w:p w14:paraId="3642A7FE" w14:textId="072AE4B8" w:rsidR="003C58A7" w:rsidRPr="00AC07E2" w:rsidRDefault="003C58A7" w:rsidP="00AC07E2">
            <w:pPr>
              <w:pStyle w:val="HWPBODY"/>
            </w:pPr>
            <w:r w:rsidRPr="00AC07E2">
              <w:t>Embrace the Principles of Good Work Design provided by Safe Work Australia</w:t>
            </w:r>
            <w:r w:rsidR="00554507" w:rsidRPr="00AC07E2">
              <w:t>.</w:t>
            </w:r>
            <w:r w:rsidRPr="00AC07E2">
              <w:t xml:space="preserve"> </w:t>
            </w:r>
          </w:p>
          <w:p w14:paraId="42A2A391" w14:textId="323F5B42" w:rsidR="003C58A7" w:rsidRPr="00AC07E2" w:rsidRDefault="003C58A7" w:rsidP="00AC07E2">
            <w:pPr>
              <w:pStyle w:val="HWPBODY"/>
            </w:pPr>
            <w:r w:rsidRPr="00AC07E2">
              <w:t xml:space="preserve">Design the work environment to take into account the capabilities and limitations of the workforce using engineering </w:t>
            </w:r>
            <w:r w:rsidRPr="00AC07E2">
              <w:lastRenderedPageBreak/>
              <w:t>controls, like using mechanical assist devices or changing workstation layouts.</w:t>
            </w:r>
          </w:p>
        </w:tc>
        <w:tc>
          <w:tcPr>
            <w:tcW w:w="1276" w:type="dxa"/>
            <w:tcMar>
              <w:top w:w="113" w:type="dxa"/>
              <w:left w:w="113" w:type="dxa"/>
              <w:bottom w:w="113" w:type="dxa"/>
              <w:right w:w="113" w:type="dxa"/>
            </w:tcMar>
            <w:vAlign w:val="center"/>
          </w:tcPr>
          <w:p w14:paraId="7469D328" w14:textId="0B357A97" w:rsidR="003C58A7" w:rsidRPr="006D476F" w:rsidRDefault="003C58A7" w:rsidP="003C58A7">
            <w:pPr>
              <w:pStyle w:val="HWPTABLESMALL"/>
              <w:jc w:val="center"/>
              <w:rPr>
                <w:color w:val="475AA8"/>
                <w:sz w:val="36"/>
                <w:szCs w:val="36"/>
              </w:rPr>
            </w:pPr>
            <w:r w:rsidRPr="006D476F">
              <w:rPr>
                <w:color w:val="475AA8"/>
                <w:sz w:val="36"/>
                <w:szCs w:val="36"/>
              </w:rPr>
              <w:lastRenderedPageBreak/>
              <w:t>•</w:t>
            </w:r>
          </w:p>
        </w:tc>
        <w:tc>
          <w:tcPr>
            <w:tcW w:w="1276" w:type="dxa"/>
            <w:tcMar>
              <w:top w:w="113" w:type="dxa"/>
              <w:left w:w="113" w:type="dxa"/>
              <w:bottom w:w="113" w:type="dxa"/>
              <w:right w:w="113" w:type="dxa"/>
            </w:tcMar>
            <w:vAlign w:val="center"/>
          </w:tcPr>
          <w:p w14:paraId="1AD68B70" w14:textId="77777777" w:rsidR="003C58A7" w:rsidRDefault="003C58A7" w:rsidP="003C58A7">
            <w:pPr>
              <w:pStyle w:val="HWPTABLESMALL"/>
              <w:jc w:val="center"/>
            </w:pPr>
          </w:p>
        </w:tc>
        <w:tc>
          <w:tcPr>
            <w:tcW w:w="1276" w:type="dxa"/>
            <w:tcMar>
              <w:top w:w="113" w:type="dxa"/>
              <w:left w:w="113" w:type="dxa"/>
              <w:bottom w:w="113" w:type="dxa"/>
              <w:right w:w="113" w:type="dxa"/>
            </w:tcMar>
          </w:tcPr>
          <w:p w14:paraId="33AFFC5D" w14:textId="77777777" w:rsidR="003C58A7" w:rsidRDefault="003C58A7" w:rsidP="003C58A7">
            <w:pPr>
              <w:pStyle w:val="HWPTABLESMALL"/>
              <w:jc w:val="center"/>
            </w:pPr>
          </w:p>
        </w:tc>
        <w:tc>
          <w:tcPr>
            <w:tcW w:w="7935" w:type="dxa"/>
            <w:tcMar>
              <w:top w:w="113" w:type="dxa"/>
              <w:left w:w="113" w:type="dxa"/>
              <w:bottom w:w="113" w:type="dxa"/>
              <w:right w:w="113" w:type="dxa"/>
            </w:tcMar>
          </w:tcPr>
          <w:p w14:paraId="052B88B5" w14:textId="1E332C24" w:rsidR="003C58A7" w:rsidRPr="00AC07E2" w:rsidRDefault="003C58A7" w:rsidP="00AC07E2">
            <w:pPr>
              <w:pStyle w:val="HWPBODY"/>
              <w:rPr>
                <w:rStyle w:val="Hyperlink2"/>
              </w:rPr>
            </w:pPr>
            <w:r w:rsidRPr="00AC07E2">
              <w:t xml:space="preserve">Principles of Good Work Design – A work health and safety handbook – </w:t>
            </w:r>
            <w:hyperlink r:id="rId19" w:history="1">
              <w:r w:rsidRPr="00AC07E2">
                <w:rPr>
                  <w:rStyle w:val="Hyperlink2"/>
                </w:rPr>
                <w:t>Safe Work Australia</w:t>
              </w:r>
            </w:hyperlink>
            <w:r w:rsidRPr="00AC07E2">
              <w:rPr>
                <w:rStyle w:val="Hyperlink2"/>
              </w:rPr>
              <w:t xml:space="preserve"> </w:t>
            </w:r>
          </w:p>
          <w:p w14:paraId="0BAEC108" w14:textId="6028F45B" w:rsidR="003C58A7" w:rsidRPr="00AC07E2" w:rsidRDefault="00D6575F" w:rsidP="00AC07E2">
            <w:pPr>
              <w:pStyle w:val="HWPBODY"/>
            </w:pPr>
            <w:hyperlink r:id="rId20" w:history="1">
              <w:r w:rsidR="003C58A7" w:rsidRPr="00AC07E2">
                <w:rPr>
                  <w:rStyle w:val="Hyperlink2"/>
                </w:rPr>
                <w:t>Video</w:t>
              </w:r>
            </w:hyperlink>
            <w:r w:rsidR="003C58A7" w:rsidRPr="00AC07E2">
              <w:t xml:space="preserve"> of how to set up your desk ergonomically </w:t>
            </w:r>
          </w:p>
          <w:p w14:paraId="314EBDA2" w14:textId="143C161C" w:rsidR="003C58A7" w:rsidRPr="00AC07E2" w:rsidRDefault="00D6575F" w:rsidP="00AC07E2">
            <w:pPr>
              <w:pStyle w:val="HWPBODY"/>
              <w:rPr>
                <w:rStyle w:val="Hyperlink2"/>
              </w:rPr>
            </w:pPr>
            <w:hyperlink r:id="rId21" w:history="1">
              <w:r w:rsidR="003C58A7" w:rsidRPr="00AC07E2">
                <w:rPr>
                  <w:rStyle w:val="Hyperlink2"/>
                </w:rPr>
                <w:t>Improve your work design | SMART Work Design | Perth</w:t>
              </w:r>
            </w:hyperlink>
          </w:p>
          <w:p w14:paraId="017149DD" w14:textId="4A3012D1" w:rsidR="003C58A7" w:rsidRPr="00AC07E2" w:rsidRDefault="00D6575F" w:rsidP="00AC07E2">
            <w:pPr>
              <w:pStyle w:val="HWPBODY"/>
              <w:rPr>
                <w:rStyle w:val="Hyperlink2"/>
              </w:rPr>
            </w:pPr>
            <w:hyperlink r:id="rId22" w:history="1">
              <w:r w:rsidR="003C58A7" w:rsidRPr="00AC07E2">
                <w:rPr>
                  <w:rStyle w:val="Hyperlink2"/>
                </w:rPr>
                <w:t>Managing risks | Safe Work Australia</w:t>
              </w:r>
            </w:hyperlink>
          </w:p>
        </w:tc>
      </w:tr>
      <w:tr w:rsidR="003C58A7" w14:paraId="50D0A407" w14:textId="2954C9FE" w:rsidTr="00BF44BD">
        <w:trPr>
          <w:gridAfter w:val="1"/>
          <w:wAfter w:w="7901" w:type="dxa"/>
        </w:trPr>
        <w:tc>
          <w:tcPr>
            <w:tcW w:w="3969" w:type="dxa"/>
            <w:tcMar>
              <w:top w:w="113" w:type="dxa"/>
              <w:left w:w="113" w:type="dxa"/>
              <w:bottom w:w="113" w:type="dxa"/>
              <w:right w:w="113" w:type="dxa"/>
            </w:tcMar>
          </w:tcPr>
          <w:p w14:paraId="75CDD4AA" w14:textId="41236D74" w:rsidR="003C58A7" w:rsidRPr="00AC07E2" w:rsidRDefault="003C58A7" w:rsidP="00AC07E2">
            <w:pPr>
              <w:pStyle w:val="HWPBODY"/>
            </w:pPr>
            <w:r w:rsidRPr="00AC07E2">
              <w:t>Ergonomic desk set up guidance</w:t>
            </w:r>
            <w:r w:rsidR="00554507" w:rsidRPr="00AC07E2">
              <w:t>.</w:t>
            </w:r>
          </w:p>
        </w:tc>
        <w:tc>
          <w:tcPr>
            <w:tcW w:w="1276" w:type="dxa"/>
            <w:tcMar>
              <w:top w:w="113" w:type="dxa"/>
              <w:left w:w="113" w:type="dxa"/>
              <w:bottom w:w="113" w:type="dxa"/>
              <w:right w:w="113" w:type="dxa"/>
            </w:tcMar>
            <w:vAlign w:val="center"/>
          </w:tcPr>
          <w:p w14:paraId="7464824E" w14:textId="5A8F7C98" w:rsidR="003C58A7" w:rsidRPr="006D476F" w:rsidRDefault="003C58A7" w:rsidP="003C58A7">
            <w:pPr>
              <w:pStyle w:val="HWPTABLESMALL"/>
              <w:jc w:val="center"/>
              <w:rPr>
                <w:color w:val="475AA8"/>
                <w:sz w:val="36"/>
                <w:szCs w:val="36"/>
              </w:rPr>
            </w:pPr>
            <w:r w:rsidRPr="006D476F">
              <w:rPr>
                <w:color w:val="475AA8"/>
                <w:sz w:val="36"/>
                <w:szCs w:val="36"/>
              </w:rPr>
              <w:t>•</w:t>
            </w:r>
          </w:p>
        </w:tc>
        <w:tc>
          <w:tcPr>
            <w:tcW w:w="1276" w:type="dxa"/>
            <w:tcMar>
              <w:top w:w="113" w:type="dxa"/>
              <w:left w:w="113" w:type="dxa"/>
              <w:bottom w:w="113" w:type="dxa"/>
              <w:right w:w="113" w:type="dxa"/>
            </w:tcMar>
          </w:tcPr>
          <w:p w14:paraId="4EE7D09D" w14:textId="77777777" w:rsidR="003C58A7" w:rsidRDefault="003C58A7" w:rsidP="003C58A7">
            <w:pPr>
              <w:pStyle w:val="HWPTABLESMALL"/>
              <w:jc w:val="center"/>
            </w:pPr>
          </w:p>
        </w:tc>
        <w:tc>
          <w:tcPr>
            <w:tcW w:w="1276" w:type="dxa"/>
            <w:tcMar>
              <w:top w:w="113" w:type="dxa"/>
              <w:left w:w="113" w:type="dxa"/>
              <w:bottom w:w="113" w:type="dxa"/>
              <w:right w:w="113" w:type="dxa"/>
            </w:tcMar>
          </w:tcPr>
          <w:p w14:paraId="2E3AEEA1" w14:textId="77777777" w:rsidR="003C58A7" w:rsidRDefault="003C58A7" w:rsidP="003C58A7">
            <w:pPr>
              <w:pStyle w:val="HWPTABLESMALL"/>
              <w:jc w:val="center"/>
            </w:pPr>
          </w:p>
        </w:tc>
        <w:tc>
          <w:tcPr>
            <w:tcW w:w="7935" w:type="dxa"/>
            <w:tcMar>
              <w:top w:w="113" w:type="dxa"/>
              <w:left w:w="113" w:type="dxa"/>
              <w:bottom w:w="113" w:type="dxa"/>
              <w:right w:w="113" w:type="dxa"/>
            </w:tcMar>
          </w:tcPr>
          <w:p w14:paraId="25E156EE" w14:textId="0D292766" w:rsidR="003C58A7" w:rsidRPr="00AC07E2" w:rsidRDefault="003C58A7" w:rsidP="00AC07E2">
            <w:pPr>
              <w:pStyle w:val="HWPBODY"/>
            </w:pPr>
            <w:r w:rsidRPr="00AC07E2">
              <w:t xml:space="preserve">Safe Work Australia </w:t>
            </w:r>
            <w:hyperlink r:id="rId23" w:history="1">
              <w:r w:rsidRPr="00AC07E2">
                <w:rPr>
                  <w:rStyle w:val="Hyperlink2"/>
                </w:rPr>
                <w:t>poster of workstation set up</w:t>
              </w:r>
            </w:hyperlink>
          </w:p>
        </w:tc>
        <w:tc>
          <w:tcPr>
            <w:tcW w:w="7935" w:type="dxa"/>
            <w:gridSpan w:val="2"/>
          </w:tcPr>
          <w:p w14:paraId="34D5E3B9" w14:textId="77777777" w:rsidR="003C58A7" w:rsidRDefault="003C58A7" w:rsidP="003C58A7">
            <w:pPr>
              <w:rPr>
                <w:i/>
              </w:rPr>
            </w:pPr>
          </w:p>
        </w:tc>
      </w:tr>
      <w:tr w:rsidR="003C58A7" w14:paraId="66FEF056" w14:textId="623E5823" w:rsidTr="003B1073">
        <w:tc>
          <w:tcPr>
            <w:tcW w:w="3969" w:type="dxa"/>
            <w:tcMar>
              <w:top w:w="113" w:type="dxa"/>
              <w:left w:w="113" w:type="dxa"/>
              <w:bottom w:w="113" w:type="dxa"/>
              <w:right w:w="113" w:type="dxa"/>
            </w:tcMar>
          </w:tcPr>
          <w:p w14:paraId="1908DDBF" w14:textId="34932B39" w:rsidR="003C58A7" w:rsidRPr="00AC07E2" w:rsidRDefault="003C58A7" w:rsidP="00AC07E2">
            <w:pPr>
              <w:pStyle w:val="HWPBODY"/>
            </w:pPr>
            <w:r w:rsidRPr="00AC07E2">
              <w:t>Encourage workers to speak up about their concerns regarding MSDs. This could be done at staff meetings, via posters or other comms channels and shows that you value their input for creating a safe, healthy and caring workplace.</w:t>
            </w:r>
          </w:p>
        </w:tc>
        <w:tc>
          <w:tcPr>
            <w:tcW w:w="1276" w:type="dxa"/>
            <w:tcMar>
              <w:top w:w="113" w:type="dxa"/>
              <w:left w:w="113" w:type="dxa"/>
              <w:bottom w:w="113" w:type="dxa"/>
              <w:right w:w="113" w:type="dxa"/>
            </w:tcMar>
            <w:vAlign w:val="center"/>
          </w:tcPr>
          <w:p w14:paraId="042FB4AB" w14:textId="492C8FFF" w:rsidR="003C58A7" w:rsidRPr="006D476F" w:rsidRDefault="003C58A7" w:rsidP="003C58A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3532B427" w14:textId="382AEADA" w:rsidR="003C58A7" w:rsidRDefault="003C58A7" w:rsidP="003C58A7">
            <w:pPr>
              <w:pStyle w:val="HWPTABLESMALL"/>
              <w:jc w:val="center"/>
            </w:pPr>
            <w:r w:rsidRPr="006D476F">
              <w:rPr>
                <w:color w:val="475AA8"/>
                <w:sz w:val="36"/>
                <w:szCs w:val="36"/>
              </w:rPr>
              <w:t>•</w:t>
            </w:r>
          </w:p>
        </w:tc>
        <w:tc>
          <w:tcPr>
            <w:tcW w:w="1276" w:type="dxa"/>
            <w:tcMar>
              <w:top w:w="113" w:type="dxa"/>
              <w:left w:w="113" w:type="dxa"/>
              <w:bottom w:w="113" w:type="dxa"/>
              <w:right w:w="113" w:type="dxa"/>
            </w:tcMar>
          </w:tcPr>
          <w:p w14:paraId="75360033" w14:textId="77777777" w:rsidR="003C58A7" w:rsidRDefault="003C58A7" w:rsidP="003C58A7">
            <w:pPr>
              <w:pStyle w:val="HWPTABLESMALL"/>
              <w:jc w:val="center"/>
            </w:pPr>
          </w:p>
        </w:tc>
        <w:tc>
          <w:tcPr>
            <w:tcW w:w="7935" w:type="dxa"/>
            <w:tcMar>
              <w:top w:w="113" w:type="dxa"/>
              <w:left w:w="113" w:type="dxa"/>
              <w:bottom w:w="113" w:type="dxa"/>
              <w:right w:w="113" w:type="dxa"/>
            </w:tcMar>
          </w:tcPr>
          <w:p w14:paraId="77629329" w14:textId="3417E86B" w:rsidR="00FA6BAC" w:rsidRPr="00AC07E2" w:rsidRDefault="00D6575F" w:rsidP="00AC07E2">
            <w:pPr>
              <w:pStyle w:val="HWPBODY"/>
              <w:rPr>
                <w:rStyle w:val="Hyperlink2"/>
              </w:rPr>
            </w:pPr>
            <w:hyperlink r:id="rId24" w:history="1">
              <w:r w:rsidR="003C58A7" w:rsidRPr="00AC07E2">
                <w:rPr>
                  <w:rStyle w:val="Hyperlink2"/>
                </w:rPr>
                <w:t>Model Code of Practice: Work health and safety consultation, cooperation and coordination | Safe Work Australia</w:t>
              </w:r>
            </w:hyperlink>
          </w:p>
          <w:p w14:paraId="33B2A209" w14:textId="3DC6316A" w:rsidR="003C58A7" w:rsidRPr="00AC07E2" w:rsidRDefault="00D6575F" w:rsidP="00AC07E2">
            <w:pPr>
              <w:pStyle w:val="HWPBODY"/>
              <w:rPr>
                <w:rStyle w:val="Hyperlink2"/>
              </w:rPr>
            </w:pPr>
            <w:hyperlink r:id="rId25" w:history="1">
              <w:r w:rsidR="003C58A7" w:rsidRPr="00AC07E2">
                <w:rPr>
                  <w:rStyle w:val="Hyperlink2"/>
                </w:rPr>
                <w:t>Consultation &amp; worker representation | SafeWork SA</w:t>
              </w:r>
            </w:hyperlink>
          </w:p>
        </w:tc>
        <w:tc>
          <w:tcPr>
            <w:tcW w:w="7918" w:type="dxa"/>
          </w:tcPr>
          <w:p w14:paraId="0CC824CA" w14:textId="77777777" w:rsidR="003C58A7" w:rsidRDefault="003C58A7" w:rsidP="003C58A7"/>
        </w:tc>
        <w:tc>
          <w:tcPr>
            <w:tcW w:w="7918" w:type="dxa"/>
            <w:gridSpan w:val="2"/>
          </w:tcPr>
          <w:p w14:paraId="75380656" w14:textId="77777777" w:rsidR="003C58A7" w:rsidRDefault="003C58A7" w:rsidP="003C58A7"/>
        </w:tc>
      </w:tr>
      <w:tr w:rsidR="003C58A7" w14:paraId="7C38A673" w14:textId="77777777" w:rsidTr="00831E7C">
        <w:trPr>
          <w:gridAfter w:val="3"/>
          <w:wAfter w:w="15836" w:type="dxa"/>
        </w:trPr>
        <w:tc>
          <w:tcPr>
            <w:tcW w:w="3969" w:type="dxa"/>
            <w:tcMar>
              <w:top w:w="113" w:type="dxa"/>
              <w:left w:w="113" w:type="dxa"/>
              <w:bottom w:w="113" w:type="dxa"/>
              <w:right w:w="113" w:type="dxa"/>
            </w:tcMar>
          </w:tcPr>
          <w:p w14:paraId="7E91E027" w14:textId="5BF548FF" w:rsidR="003C58A7" w:rsidRPr="00AC07E2" w:rsidRDefault="003C58A7" w:rsidP="00AC07E2">
            <w:pPr>
              <w:pStyle w:val="HWPBODY"/>
            </w:pPr>
            <w:r w:rsidRPr="00AC07E2">
              <w:t xml:space="preserve">Consider working with an Occupational Therapist or Physiotherapist to compile a ‘Job Dictionary’ of all available tasks/duties. This can greatly assist when trying to identify suitable duties for workers with MSDs while they recover at work. </w:t>
            </w:r>
          </w:p>
          <w:p w14:paraId="7FDE20B4" w14:textId="3D51390C" w:rsidR="003C58A7" w:rsidRPr="00AC07E2" w:rsidRDefault="003C58A7" w:rsidP="00AC07E2">
            <w:pPr>
              <w:pStyle w:val="HWPBODY"/>
            </w:pPr>
            <w:r w:rsidRPr="00AC07E2">
              <w:t>Consider providing regular access to onsite physiotherapy or exercise physiology.</w:t>
            </w:r>
          </w:p>
        </w:tc>
        <w:tc>
          <w:tcPr>
            <w:tcW w:w="1276" w:type="dxa"/>
            <w:tcMar>
              <w:top w:w="113" w:type="dxa"/>
              <w:left w:w="113" w:type="dxa"/>
              <w:bottom w:w="113" w:type="dxa"/>
              <w:right w:w="113" w:type="dxa"/>
            </w:tcMar>
            <w:vAlign w:val="center"/>
          </w:tcPr>
          <w:p w14:paraId="07998FC8" w14:textId="77777777" w:rsidR="003C58A7" w:rsidRPr="006D476F" w:rsidRDefault="003C58A7" w:rsidP="003C58A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292D9ED6" w14:textId="42FB4908" w:rsidR="003C58A7" w:rsidRDefault="003C58A7" w:rsidP="003C58A7">
            <w:pPr>
              <w:pStyle w:val="HWPTABLESMALL"/>
              <w:jc w:val="center"/>
            </w:pPr>
            <w:r w:rsidRPr="006D476F">
              <w:rPr>
                <w:color w:val="475AA8"/>
                <w:sz w:val="36"/>
                <w:szCs w:val="36"/>
              </w:rPr>
              <w:t>•</w:t>
            </w:r>
          </w:p>
        </w:tc>
        <w:tc>
          <w:tcPr>
            <w:tcW w:w="1276" w:type="dxa"/>
            <w:tcMar>
              <w:top w:w="113" w:type="dxa"/>
              <w:left w:w="113" w:type="dxa"/>
              <w:bottom w:w="113" w:type="dxa"/>
              <w:right w:w="113" w:type="dxa"/>
            </w:tcMar>
          </w:tcPr>
          <w:p w14:paraId="56332D8A" w14:textId="77777777" w:rsidR="003C58A7" w:rsidRDefault="003C58A7" w:rsidP="003C58A7">
            <w:pPr>
              <w:pStyle w:val="HWPTABLESMALL"/>
              <w:jc w:val="center"/>
            </w:pPr>
          </w:p>
        </w:tc>
        <w:tc>
          <w:tcPr>
            <w:tcW w:w="7935" w:type="dxa"/>
            <w:tcMar>
              <w:top w:w="113" w:type="dxa"/>
              <w:left w:w="113" w:type="dxa"/>
              <w:bottom w:w="113" w:type="dxa"/>
              <w:right w:w="113" w:type="dxa"/>
            </w:tcMar>
          </w:tcPr>
          <w:p w14:paraId="279DFC3D" w14:textId="77777777" w:rsidR="003C58A7" w:rsidRPr="00AC07E2" w:rsidRDefault="003C58A7" w:rsidP="00AC07E2">
            <w:pPr>
              <w:pStyle w:val="HWPBODY"/>
            </w:pPr>
            <w:r w:rsidRPr="00AC07E2">
              <w:t xml:space="preserve">Find an Ergonomist </w:t>
            </w:r>
          </w:p>
          <w:p w14:paraId="76084880" w14:textId="020C7CAF" w:rsidR="00FA6BAC" w:rsidRPr="00AC07E2" w:rsidRDefault="00D6575F" w:rsidP="00AC07E2">
            <w:pPr>
              <w:pStyle w:val="HWPBODY"/>
              <w:rPr>
                <w:rStyle w:val="Hyperlink2"/>
              </w:rPr>
            </w:pPr>
            <w:hyperlink r:id="rId26" w:history="1">
              <w:r w:rsidR="003C58A7" w:rsidRPr="00AC07E2">
                <w:rPr>
                  <w:rStyle w:val="Hyperlink2"/>
                </w:rPr>
                <w:t>Physio can treat - Choose physio | Australian Physiotherapy Association</w:t>
              </w:r>
            </w:hyperlink>
            <w:r w:rsidR="003C58A7" w:rsidRPr="00AC07E2">
              <w:rPr>
                <w:rStyle w:val="Hyperlink2"/>
              </w:rPr>
              <w:t xml:space="preserve"> </w:t>
            </w:r>
          </w:p>
          <w:p w14:paraId="0466F103" w14:textId="10AE1947" w:rsidR="003C58A7" w:rsidRPr="00AC07E2" w:rsidRDefault="003C58A7" w:rsidP="00AC07E2">
            <w:pPr>
              <w:pStyle w:val="HWPBODY"/>
            </w:pPr>
            <w:r w:rsidRPr="00AC07E2">
              <w:t xml:space="preserve">Find an </w:t>
            </w:r>
            <w:hyperlink r:id="rId27" w:history="1">
              <w:r w:rsidRPr="00AC07E2">
                <w:rPr>
                  <w:rStyle w:val="Hyperlink2"/>
                </w:rPr>
                <w:t>occupational therapist</w:t>
              </w:r>
              <w:r w:rsidRPr="00AC07E2">
                <w:t xml:space="preserve"> </w:t>
              </w:r>
            </w:hyperlink>
            <w:r w:rsidRPr="00AC07E2">
              <w:t xml:space="preserve"> </w:t>
            </w:r>
          </w:p>
        </w:tc>
      </w:tr>
      <w:tr w:rsidR="003C58A7" w14:paraId="12877FF9" w14:textId="77777777" w:rsidTr="00267D4A">
        <w:trPr>
          <w:gridAfter w:val="3"/>
          <w:wAfter w:w="15836" w:type="dxa"/>
        </w:trPr>
        <w:tc>
          <w:tcPr>
            <w:tcW w:w="3969" w:type="dxa"/>
            <w:tcMar>
              <w:top w:w="113" w:type="dxa"/>
              <w:left w:w="113" w:type="dxa"/>
              <w:bottom w:w="113" w:type="dxa"/>
              <w:right w:w="113" w:type="dxa"/>
            </w:tcMar>
          </w:tcPr>
          <w:p w14:paraId="01B98C7A" w14:textId="10494789" w:rsidR="003C58A7" w:rsidRPr="00AC07E2" w:rsidRDefault="003C58A7" w:rsidP="00AC07E2">
            <w:pPr>
              <w:pStyle w:val="HWPBODY"/>
            </w:pPr>
            <w:r w:rsidRPr="00AC07E2">
              <w:t xml:space="preserve">Consider providing access to onsite exercise equipment, walking groups, </w:t>
            </w:r>
            <w:r w:rsidR="00554507" w:rsidRPr="00AC07E2">
              <w:br/>
            </w:r>
            <w:r w:rsidRPr="00AC07E2">
              <w:t>or subsidising gym memberships for employees. Employees who engage</w:t>
            </w:r>
            <w:r w:rsidR="00554507" w:rsidRPr="00AC07E2">
              <w:br/>
            </w:r>
            <w:r w:rsidRPr="00AC07E2">
              <w:t xml:space="preserve">in exercise reduce their risk of work related MSDs. (Please refer to the </w:t>
            </w:r>
            <w:r w:rsidRPr="00AC07E2">
              <w:lastRenderedPageBreak/>
              <w:t xml:space="preserve">physical activity section for additional recommendations on increasing engagement with physical activity </w:t>
            </w:r>
            <w:r w:rsidR="000B74B7" w:rsidRPr="00AC07E2">
              <w:br/>
              <w:t>and</w:t>
            </w:r>
            <w:r w:rsidRPr="00AC07E2">
              <w:t xml:space="preserve"> exercise)</w:t>
            </w:r>
            <w:r w:rsidR="00554507" w:rsidRPr="00AC07E2">
              <w:t>.</w:t>
            </w:r>
          </w:p>
        </w:tc>
        <w:tc>
          <w:tcPr>
            <w:tcW w:w="1276" w:type="dxa"/>
            <w:tcMar>
              <w:top w:w="113" w:type="dxa"/>
              <w:left w:w="113" w:type="dxa"/>
              <w:bottom w:w="113" w:type="dxa"/>
              <w:right w:w="113" w:type="dxa"/>
            </w:tcMar>
            <w:vAlign w:val="center"/>
          </w:tcPr>
          <w:p w14:paraId="464ECDE8" w14:textId="77777777" w:rsidR="003C58A7" w:rsidRPr="006D476F" w:rsidRDefault="003C58A7" w:rsidP="003C58A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583E0FDA" w14:textId="22C2EB8D" w:rsidR="003C58A7" w:rsidRDefault="003C58A7" w:rsidP="003C58A7">
            <w:pPr>
              <w:pStyle w:val="HWPTABLESMALL"/>
              <w:jc w:val="center"/>
            </w:pPr>
            <w:r w:rsidRPr="006D476F">
              <w:rPr>
                <w:color w:val="475AA8"/>
                <w:sz w:val="36"/>
                <w:szCs w:val="36"/>
              </w:rPr>
              <w:t>•</w:t>
            </w:r>
          </w:p>
        </w:tc>
        <w:tc>
          <w:tcPr>
            <w:tcW w:w="1276" w:type="dxa"/>
            <w:tcMar>
              <w:top w:w="113" w:type="dxa"/>
              <w:left w:w="113" w:type="dxa"/>
              <w:bottom w:w="113" w:type="dxa"/>
              <w:right w:w="113" w:type="dxa"/>
            </w:tcMar>
            <w:vAlign w:val="center"/>
          </w:tcPr>
          <w:p w14:paraId="5FF3157B" w14:textId="584AC3A4" w:rsidR="003C58A7" w:rsidRPr="003C58A7" w:rsidRDefault="003C58A7" w:rsidP="003C58A7">
            <w:pPr>
              <w:pStyle w:val="HWPTABLESMALL"/>
              <w:jc w:val="center"/>
            </w:pPr>
            <w:r w:rsidRPr="003C58A7">
              <w:rPr>
                <w:color w:val="475AA8"/>
                <w:sz w:val="36"/>
                <w:szCs w:val="36"/>
              </w:rPr>
              <w:t>•</w:t>
            </w:r>
          </w:p>
        </w:tc>
        <w:tc>
          <w:tcPr>
            <w:tcW w:w="7935" w:type="dxa"/>
            <w:tcMar>
              <w:top w:w="113" w:type="dxa"/>
              <w:left w:w="113" w:type="dxa"/>
              <w:bottom w:w="113" w:type="dxa"/>
              <w:right w:w="113" w:type="dxa"/>
            </w:tcMar>
          </w:tcPr>
          <w:p w14:paraId="73227A99" w14:textId="73233B73" w:rsidR="003C58A7" w:rsidRPr="00AC07E2" w:rsidRDefault="00D6575F" w:rsidP="004D5DDE">
            <w:pPr>
              <w:pStyle w:val="HWPHYPERLINK"/>
            </w:pPr>
            <w:hyperlink r:id="rId28" w:history="1">
              <w:r w:rsidR="004D5DDE" w:rsidRPr="004D5DDE">
                <w:rPr>
                  <w:rStyle w:val="Hyperlink"/>
                </w:rPr>
                <w:t>Healthy Workplaces Toolkit – Physical activity</w:t>
              </w:r>
            </w:hyperlink>
          </w:p>
          <w:p w14:paraId="0B8BF01F" w14:textId="3FD32117" w:rsidR="003C58A7" w:rsidRPr="00AC07E2" w:rsidRDefault="003C58A7" w:rsidP="004D5DDE">
            <w:pPr>
              <w:pStyle w:val="HWPHYPERLINK"/>
            </w:pPr>
          </w:p>
        </w:tc>
      </w:tr>
      <w:tr w:rsidR="003C58A7" w14:paraId="01667A62" w14:textId="77777777" w:rsidTr="00257C03">
        <w:trPr>
          <w:gridAfter w:val="3"/>
          <w:wAfter w:w="15836" w:type="dxa"/>
        </w:trPr>
        <w:tc>
          <w:tcPr>
            <w:tcW w:w="3969" w:type="dxa"/>
            <w:tcMar>
              <w:top w:w="113" w:type="dxa"/>
              <w:left w:w="113" w:type="dxa"/>
              <w:bottom w:w="113" w:type="dxa"/>
              <w:right w:w="113" w:type="dxa"/>
            </w:tcMar>
          </w:tcPr>
          <w:p w14:paraId="189856D7" w14:textId="137B7E82" w:rsidR="003C58A7" w:rsidRPr="00AC07E2" w:rsidRDefault="003C58A7" w:rsidP="00AC07E2">
            <w:pPr>
              <w:pStyle w:val="HWPBODY"/>
            </w:pPr>
            <w:r w:rsidRPr="00AC07E2">
              <w:t>Consider developing an ‘Early Intervention Program’. This program may include 3-4 sessions with a local physiotherapist or GP to get on top of MSDs early. Consider providing access for both work related and non-work related MSDs.</w:t>
            </w:r>
          </w:p>
        </w:tc>
        <w:tc>
          <w:tcPr>
            <w:tcW w:w="1276" w:type="dxa"/>
            <w:tcMar>
              <w:top w:w="113" w:type="dxa"/>
              <w:left w:w="113" w:type="dxa"/>
              <w:bottom w:w="113" w:type="dxa"/>
              <w:right w:w="113" w:type="dxa"/>
            </w:tcMar>
            <w:vAlign w:val="center"/>
          </w:tcPr>
          <w:p w14:paraId="27483BDE" w14:textId="77777777" w:rsidR="003C58A7" w:rsidRPr="006D476F" w:rsidRDefault="003C58A7" w:rsidP="003C58A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192D6B3F" w14:textId="01381367" w:rsidR="003C58A7" w:rsidRDefault="003C58A7" w:rsidP="003C58A7">
            <w:pPr>
              <w:pStyle w:val="HWPTABLESMALL"/>
              <w:jc w:val="center"/>
            </w:pPr>
            <w:r w:rsidRPr="006D476F">
              <w:rPr>
                <w:color w:val="475AA8"/>
                <w:sz w:val="36"/>
                <w:szCs w:val="36"/>
              </w:rPr>
              <w:t>•</w:t>
            </w:r>
          </w:p>
        </w:tc>
        <w:tc>
          <w:tcPr>
            <w:tcW w:w="1276" w:type="dxa"/>
            <w:tcMar>
              <w:top w:w="113" w:type="dxa"/>
              <w:left w:w="113" w:type="dxa"/>
              <w:bottom w:w="113" w:type="dxa"/>
              <w:right w:w="113" w:type="dxa"/>
            </w:tcMar>
            <w:vAlign w:val="center"/>
          </w:tcPr>
          <w:p w14:paraId="7E78212E" w14:textId="63F67596" w:rsidR="003C58A7" w:rsidRDefault="003C58A7" w:rsidP="003C58A7">
            <w:pPr>
              <w:pStyle w:val="HWPTABLESMALL"/>
              <w:jc w:val="center"/>
            </w:pPr>
            <w:r w:rsidRPr="006D476F">
              <w:rPr>
                <w:color w:val="475AA8"/>
                <w:sz w:val="36"/>
                <w:szCs w:val="36"/>
              </w:rPr>
              <w:t>•</w:t>
            </w:r>
          </w:p>
        </w:tc>
        <w:tc>
          <w:tcPr>
            <w:tcW w:w="7935" w:type="dxa"/>
            <w:tcMar>
              <w:top w:w="113" w:type="dxa"/>
              <w:left w:w="113" w:type="dxa"/>
              <w:bottom w:w="113" w:type="dxa"/>
              <w:right w:w="113" w:type="dxa"/>
            </w:tcMar>
          </w:tcPr>
          <w:p w14:paraId="619DE4FC" w14:textId="12603A6D" w:rsidR="003C58A7" w:rsidRPr="00AC07E2" w:rsidRDefault="00D6575F" w:rsidP="00AC07E2">
            <w:pPr>
              <w:pStyle w:val="HWPBODY"/>
              <w:rPr>
                <w:rStyle w:val="Hyperlink2"/>
              </w:rPr>
            </w:pPr>
            <w:hyperlink r:id="rId29" w:history="1">
              <w:r w:rsidR="003C58A7" w:rsidRPr="00AC07E2">
                <w:rPr>
                  <w:rStyle w:val="Hyperlink2"/>
                </w:rPr>
                <w:t>Early intervention service pilot project | Comcare</w:t>
              </w:r>
            </w:hyperlink>
          </w:p>
        </w:tc>
      </w:tr>
      <w:tr w:rsidR="003C58A7" w14:paraId="2080866B" w14:textId="77777777" w:rsidTr="00831E7C">
        <w:trPr>
          <w:gridAfter w:val="3"/>
          <w:wAfter w:w="15836" w:type="dxa"/>
        </w:trPr>
        <w:tc>
          <w:tcPr>
            <w:tcW w:w="3969" w:type="dxa"/>
            <w:tcMar>
              <w:top w:w="113" w:type="dxa"/>
              <w:left w:w="113" w:type="dxa"/>
              <w:bottom w:w="113" w:type="dxa"/>
              <w:right w:w="113" w:type="dxa"/>
            </w:tcMar>
          </w:tcPr>
          <w:p w14:paraId="78EA85D6" w14:textId="664A080B" w:rsidR="003C58A7" w:rsidRPr="00AC07E2" w:rsidRDefault="003C58A7" w:rsidP="00AC07E2">
            <w:pPr>
              <w:pStyle w:val="HWPBODY"/>
            </w:pPr>
            <w:r w:rsidRPr="00AC07E2">
              <w:t xml:space="preserve">Encourage workers to get an early diagnosis and appropriately manage arthritis to decrease pain and </w:t>
            </w:r>
            <w:r w:rsidR="000B74B7" w:rsidRPr="00AC07E2">
              <w:br/>
            </w:r>
            <w:r w:rsidRPr="00AC07E2">
              <w:t>improve function</w:t>
            </w:r>
            <w:r w:rsidR="00554507" w:rsidRPr="00AC07E2">
              <w:t>.</w:t>
            </w:r>
          </w:p>
        </w:tc>
        <w:tc>
          <w:tcPr>
            <w:tcW w:w="1276" w:type="dxa"/>
            <w:tcMar>
              <w:top w:w="113" w:type="dxa"/>
              <w:left w:w="113" w:type="dxa"/>
              <w:bottom w:w="113" w:type="dxa"/>
              <w:right w:w="113" w:type="dxa"/>
            </w:tcMar>
            <w:vAlign w:val="center"/>
          </w:tcPr>
          <w:p w14:paraId="581D4DD0" w14:textId="77777777" w:rsidR="003C58A7" w:rsidRPr="006D476F" w:rsidRDefault="003C58A7" w:rsidP="003C58A7">
            <w:pPr>
              <w:pStyle w:val="HWPTABLESMALL"/>
              <w:jc w:val="center"/>
              <w:rPr>
                <w:color w:val="475AA8"/>
                <w:sz w:val="36"/>
                <w:szCs w:val="36"/>
              </w:rPr>
            </w:pPr>
          </w:p>
        </w:tc>
        <w:tc>
          <w:tcPr>
            <w:tcW w:w="1276" w:type="dxa"/>
            <w:tcMar>
              <w:top w:w="113" w:type="dxa"/>
              <w:left w:w="113" w:type="dxa"/>
              <w:bottom w:w="113" w:type="dxa"/>
              <w:right w:w="113" w:type="dxa"/>
            </w:tcMar>
            <w:vAlign w:val="center"/>
          </w:tcPr>
          <w:p w14:paraId="773F1421" w14:textId="06FD04EF" w:rsidR="003C58A7" w:rsidRDefault="003C58A7" w:rsidP="003C58A7">
            <w:pPr>
              <w:pStyle w:val="HWPTABLESMALL"/>
              <w:jc w:val="center"/>
            </w:pPr>
            <w:r w:rsidRPr="006D476F">
              <w:rPr>
                <w:color w:val="475AA8"/>
                <w:sz w:val="36"/>
                <w:szCs w:val="36"/>
              </w:rPr>
              <w:t>•</w:t>
            </w:r>
          </w:p>
        </w:tc>
        <w:tc>
          <w:tcPr>
            <w:tcW w:w="1276" w:type="dxa"/>
            <w:tcMar>
              <w:top w:w="113" w:type="dxa"/>
              <w:left w:w="113" w:type="dxa"/>
              <w:bottom w:w="113" w:type="dxa"/>
              <w:right w:w="113" w:type="dxa"/>
            </w:tcMar>
          </w:tcPr>
          <w:p w14:paraId="49F42196" w14:textId="77777777" w:rsidR="003C58A7" w:rsidRDefault="003C58A7" w:rsidP="003C58A7">
            <w:pPr>
              <w:pStyle w:val="HWPTABLESMALL"/>
              <w:jc w:val="center"/>
            </w:pPr>
          </w:p>
        </w:tc>
        <w:tc>
          <w:tcPr>
            <w:tcW w:w="7935" w:type="dxa"/>
            <w:tcMar>
              <w:top w:w="113" w:type="dxa"/>
              <w:left w:w="113" w:type="dxa"/>
              <w:bottom w:w="113" w:type="dxa"/>
              <w:right w:w="113" w:type="dxa"/>
            </w:tcMar>
          </w:tcPr>
          <w:p w14:paraId="643F5F0D" w14:textId="0C0E0EF3" w:rsidR="00FA6BAC" w:rsidRPr="00AC07E2" w:rsidRDefault="00D6575F" w:rsidP="00AC07E2">
            <w:pPr>
              <w:pStyle w:val="HWPBODY"/>
            </w:pPr>
            <w:hyperlink r:id="rId30" w:history="1">
              <w:r w:rsidR="003C58A7" w:rsidRPr="00AC07E2">
                <w:rPr>
                  <w:rStyle w:val="Hyperlink2"/>
                </w:rPr>
                <w:t>Arthritis Foundation</w:t>
              </w:r>
            </w:hyperlink>
            <w:r w:rsidR="003C58A7" w:rsidRPr="00AC07E2">
              <w:t xml:space="preserve"> Australian</w:t>
            </w:r>
          </w:p>
          <w:p w14:paraId="35B94B0A" w14:textId="1229AF86" w:rsidR="003C58A7" w:rsidRPr="00AC07E2" w:rsidRDefault="003C58A7" w:rsidP="00AC07E2">
            <w:pPr>
              <w:pStyle w:val="HWPBODY"/>
            </w:pPr>
            <w:r w:rsidRPr="00AC07E2">
              <w:t xml:space="preserve">Arthritis Foundation America – </w:t>
            </w:r>
            <w:hyperlink r:id="rId31" w:history="1">
              <w:r w:rsidRPr="00AC07E2">
                <w:rPr>
                  <w:rStyle w:val="Hyperlink2"/>
                </w:rPr>
                <w:t>Working when you have arthritis</w:t>
              </w:r>
            </w:hyperlink>
            <w:r w:rsidRPr="00AC07E2">
              <w:t xml:space="preserve"> </w:t>
            </w:r>
          </w:p>
        </w:tc>
      </w:tr>
    </w:tbl>
    <w:p w14:paraId="26D101FC" w14:textId="0C251A99" w:rsidR="00C432AB" w:rsidRDefault="00C432AB" w:rsidP="001A17A0">
      <w:pPr>
        <w:pStyle w:val="HWPTITLE"/>
      </w:pPr>
    </w:p>
    <w:sectPr w:rsidR="00C432AB" w:rsidSect="00E55C47">
      <w:headerReference w:type="default" r:id="rId32"/>
      <w:footerReference w:type="default" r:id="rId33"/>
      <w:headerReference w:type="first" r:id="rId34"/>
      <w:pgSz w:w="16840" w:h="11900" w:orient="landscape"/>
      <w:pgMar w:top="2268" w:right="567" w:bottom="1758"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36C34" w14:textId="77777777" w:rsidR="000F3E2F" w:rsidRDefault="000F3E2F" w:rsidP="00705BC3">
      <w:r>
        <w:separator/>
      </w:r>
    </w:p>
  </w:endnote>
  <w:endnote w:type="continuationSeparator" w:id="0">
    <w:p w14:paraId="24962B40" w14:textId="77777777" w:rsidR="000F3E2F" w:rsidRDefault="000F3E2F" w:rsidP="0070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 Pro">
    <w:altName w:val="Bahnschrift Light"/>
    <w:panose1 w:val="00000000000000000000"/>
    <w:charset w:val="00"/>
    <w:family w:val="swiss"/>
    <w:notTrueType/>
    <w:pitch w:val="variable"/>
    <w:sig w:usb0="A00000AF" w:usb1="5000205A" w:usb2="00000000" w:usb3="00000000" w:csb0="0000009B"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7607A" w14:textId="3F65883A" w:rsidR="00C82424" w:rsidRDefault="00C82424">
    <w:r>
      <w:rPr>
        <w:noProof/>
        <w:lang w:eastAsia="en-AU"/>
      </w:rPr>
      <mc:AlternateContent>
        <mc:Choice Requires="wps">
          <w:drawing>
            <wp:anchor distT="0" distB="0" distL="114300" distR="114300" simplePos="0" relativeHeight="251663360" behindDoc="0" locked="0" layoutInCell="1" allowOverlap="1" wp14:anchorId="4D1C938D" wp14:editId="04911C34">
              <wp:simplePos x="0" y="0"/>
              <wp:positionH relativeFrom="column">
                <wp:posOffset>9697720</wp:posOffset>
              </wp:positionH>
              <wp:positionV relativeFrom="paragraph">
                <wp:posOffset>-123691</wp:posOffset>
              </wp:positionV>
              <wp:extent cx="390770" cy="49183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0770" cy="491832"/>
                      </a:xfrm>
                      <a:prstGeom prst="rect">
                        <a:avLst/>
                      </a:prstGeom>
                      <a:noFill/>
                      <a:ln w="6350">
                        <a:noFill/>
                      </a:ln>
                    </wps:spPr>
                    <wps:txbx>
                      <w:txbxContent>
                        <w:p w14:paraId="07141821" w14:textId="2DD58BB5" w:rsidR="00C82424" w:rsidRPr="007B037C" w:rsidRDefault="00C82424" w:rsidP="00C82424">
                          <w:pPr>
                            <w:rPr>
                              <w:rFonts w:ascii="Century Gothic Pro" w:hAnsi="Century Gothic Pro"/>
                              <w:b/>
                              <w:bCs/>
                              <w:color w:val="FFFFFF" w:themeColor="background1"/>
                              <w:sz w:val="20"/>
                              <w:szCs w:val="20"/>
                            </w:rPr>
                          </w:pPr>
                          <w:r w:rsidRPr="007B037C">
                            <w:rPr>
                              <w:rFonts w:ascii="Times New Roman" w:hAnsi="Times New Roman" w:cs="Times New Roman"/>
                              <w:b/>
                              <w:bCs/>
                              <w:color w:val="FFFFFF" w:themeColor="background1"/>
                              <w:lang w:val="en-GB"/>
                            </w:rPr>
                            <w:tab/>
                          </w:r>
                          <w:r w:rsidRPr="007B037C">
                            <w:rPr>
                              <w:rFonts w:ascii="Century Gothic Pro" w:hAnsi="Century Gothic Pro" w:cs="Times New Roman"/>
                              <w:b/>
                              <w:bCs/>
                              <w:color w:val="FFFFFF" w:themeColor="background1"/>
                              <w:sz w:val="20"/>
                              <w:szCs w:val="20"/>
                              <w:lang w:val="en-GB"/>
                            </w:rPr>
                            <w:fldChar w:fldCharType="begin"/>
                          </w:r>
                          <w:r w:rsidRPr="007B037C">
                            <w:rPr>
                              <w:rFonts w:ascii="Century Gothic Pro" w:hAnsi="Century Gothic Pro" w:cs="Times New Roman"/>
                              <w:b/>
                              <w:bCs/>
                              <w:color w:val="FFFFFF" w:themeColor="background1"/>
                              <w:sz w:val="20"/>
                              <w:szCs w:val="20"/>
                              <w:lang w:val="en-GB"/>
                            </w:rPr>
                            <w:instrText xml:space="preserve"> PAGE </w:instrText>
                          </w:r>
                          <w:r w:rsidRPr="007B037C">
                            <w:rPr>
                              <w:rFonts w:ascii="Century Gothic Pro" w:hAnsi="Century Gothic Pro" w:cs="Times New Roman"/>
                              <w:b/>
                              <w:bCs/>
                              <w:color w:val="FFFFFF" w:themeColor="background1"/>
                              <w:sz w:val="20"/>
                              <w:szCs w:val="20"/>
                              <w:lang w:val="en-GB"/>
                            </w:rPr>
                            <w:fldChar w:fldCharType="separate"/>
                          </w:r>
                          <w:r w:rsidR="00D6575F">
                            <w:rPr>
                              <w:rFonts w:ascii="Century Gothic Pro" w:hAnsi="Century Gothic Pro" w:cs="Times New Roman"/>
                              <w:b/>
                              <w:bCs/>
                              <w:noProof/>
                              <w:color w:val="FFFFFF" w:themeColor="background1"/>
                              <w:sz w:val="20"/>
                              <w:szCs w:val="20"/>
                              <w:lang w:val="en-GB"/>
                            </w:rPr>
                            <w:t>2</w:t>
                          </w:r>
                          <w:r w:rsidRPr="007B037C">
                            <w:rPr>
                              <w:rFonts w:ascii="Century Gothic Pro" w:hAnsi="Century Gothic Pro" w:cs="Times New Roman"/>
                              <w:b/>
                              <w:bCs/>
                              <w:color w:val="FFFFFF" w:themeColor="background1"/>
                              <w:sz w:val="20"/>
                              <w:szCs w:val="20"/>
                              <w:lang w:val="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C938D" id="_x0000_t202" coordsize="21600,21600" o:spt="202" path="m,l,21600r21600,l21600,xe">
              <v:stroke joinstyle="miter"/>
              <v:path gradientshapeok="t" o:connecttype="rect"/>
            </v:shapetype>
            <v:shape id="Text Box 13" o:spid="_x0000_s1026" type="#_x0000_t202" style="position:absolute;margin-left:763.6pt;margin-top:-9.75pt;width:30.75pt;height: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" filled="f" stroked="f" strokeweight=".5pt">
              <v:textbox>
                <w:txbxContent>
                  <w:p w14:paraId="07141821" w14:textId="2DD58BB5" w:rsidR="00C82424" w:rsidRPr="007B037C" w:rsidRDefault="00C82424" w:rsidP="00C82424">
                    <w:pPr>
                      <w:rPr>
                        <w:rFonts w:ascii="Century Gothic Pro" w:hAnsi="Century Gothic Pro"/>
                        <w:b/>
                        <w:bCs/>
                        <w:color w:val="FFFFFF" w:themeColor="background1"/>
                        <w:sz w:val="20"/>
                        <w:szCs w:val="20"/>
                      </w:rPr>
                    </w:pPr>
                    <w:r w:rsidRPr="007B037C">
                      <w:rPr>
                        <w:rFonts w:ascii="Times New Roman" w:hAnsi="Times New Roman" w:cs="Times New Roman"/>
                        <w:b/>
                        <w:bCs/>
                        <w:color w:val="FFFFFF" w:themeColor="background1"/>
                        <w:lang w:val="en-GB"/>
                      </w:rPr>
                      <w:tab/>
                    </w:r>
                    <w:r w:rsidRPr="007B037C">
                      <w:rPr>
                        <w:rFonts w:ascii="Century Gothic Pro" w:hAnsi="Century Gothic Pro" w:cs="Times New Roman"/>
                        <w:b/>
                        <w:bCs/>
                        <w:color w:val="FFFFFF" w:themeColor="background1"/>
                        <w:sz w:val="20"/>
                        <w:szCs w:val="20"/>
                        <w:lang w:val="en-GB"/>
                      </w:rPr>
                      <w:fldChar w:fldCharType="begin"/>
                    </w:r>
                    <w:r w:rsidRPr="007B037C">
                      <w:rPr>
                        <w:rFonts w:ascii="Century Gothic Pro" w:hAnsi="Century Gothic Pro" w:cs="Times New Roman"/>
                        <w:b/>
                        <w:bCs/>
                        <w:color w:val="FFFFFF" w:themeColor="background1"/>
                        <w:sz w:val="20"/>
                        <w:szCs w:val="20"/>
                        <w:lang w:val="en-GB"/>
                      </w:rPr>
                      <w:instrText xml:space="preserve"> PAGE </w:instrText>
                    </w:r>
                    <w:r w:rsidRPr="007B037C">
                      <w:rPr>
                        <w:rFonts w:ascii="Century Gothic Pro" w:hAnsi="Century Gothic Pro" w:cs="Times New Roman"/>
                        <w:b/>
                        <w:bCs/>
                        <w:color w:val="FFFFFF" w:themeColor="background1"/>
                        <w:sz w:val="20"/>
                        <w:szCs w:val="20"/>
                        <w:lang w:val="en-GB"/>
                      </w:rPr>
                      <w:fldChar w:fldCharType="separate"/>
                    </w:r>
                    <w:r w:rsidR="00D6575F">
                      <w:rPr>
                        <w:rFonts w:ascii="Century Gothic Pro" w:hAnsi="Century Gothic Pro" w:cs="Times New Roman"/>
                        <w:b/>
                        <w:bCs/>
                        <w:noProof/>
                        <w:color w:val="FFFFFF" w:themeColor="background1"/>
                        <w:sz w:val="20"/>
                        <w:szCs w:val="20"/>
                        <w:lang w:val="en-GB"/>
                      </w:rPr>
                      <w:t>2</w:t>
                    </w:r>
                    <w:r w:rsidRPr="007B037C">
                      <w:rPr>
                        <w:rFonts w:ascii="Century Gothic Pro" w:hAnsi="Century Gothic Pro" w:cs="Times New Roman"/>
                        <w:b/>
                        <w:bCs/>
                        <w:color w:val="FFFFFF" w:themeColor="background1"/>
                        <w:sz w:val="20"/>
                        <w:szCs w:val="20"/>
                        <w:lang w:val="en-GB"/>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8E26B" w14:textId="77777777" w:rsidR="000F3E2F" w:rsidRDefault="000F3E2F" w:rsidP="00705BC3">
      <w:r>
        <w:separator/>
      </w:r>
    </w:p>
  </w:footnote>
  <w:footnote w:type="continuationSeparator" w:id="0">
    <w:p w14:paraId="228A2EB6" w14:textId="77777777" w:rsidR="000F3E2F" w:rsidRDefault="000F3E2F" w:rsidP="0070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8F8F" w14:textId="58689694" w:rsidR="00C82424" w:rsidRDefault="00C82424">
    <w:r>
      <w:rPr>
        <w:noProof/>
        <w:lang w:eastAsia="en-AU"/>
      </w:rPr>
      <w:drawing>
        <wp:anchor distT="0" distB="0" distL="114300" distR="114300" simplePos="0" relativeHeight="251661312" behindDoc="1" locked="0" layoutInCell="1" allowOverlap="1" wp14:anchorId="0FB3E24B" wp14:editId="187E7676">
          <wp:simplePos x="0" y="0"/>
          <wp:positionH relativeFrom="column">
            <wp:posOffset>-360045</wp:posOffset>
          </wp:positionH>
          <wp:positionV relativeFrom="paragraph">
            <wp:posOffset>-428144</wp:posOffset>
          </wp:positionV>
          <wp:extent cx="10677600" cy="754533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677600" cy="754533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EF17" w14:textId="43064098" w:rsidR="0099210B" w:rsidRDefault="00C82424">
    <w:r>
      <w:rPr>
        <w:noProof/>
        <w:lang w:eastAsia="en-AU"/>
      </w:rPr>
      <w:drawing>
        <wp:anchor distT="0" distB="0" distL="114300" distR="114300" simplePos="0" relativeHeight="251659264" behindDoc="1" locked="0" layoutInCell="1" allowOverlap="1" wp14:anchorId="61E8DE95" wp14:editId="505F0512">
          <wp:simplePos x="0" y="0"/>
          <wp:positionH relativeFrom="page">
            <wp:posOffset>17145</wp:posOffset>
          </wp:positionH>
          <wp:positionV relativeFrom="paragraph">
            <wp:posOffset>-454025</wp:posOffset>
          </wp:positionV>
          <wp:extent cx="10692581" cy="7555921"/>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692581" cy="75559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950A792"/>
    <w:lvl w:ilvl="0">
      <w:start w:val="1"/>
      <w:numFmt w:val="decimal"/>
      <w:lvlText w:val="%1."/>
      <w:lvlJc w:val="left"/>
      <w:pPr>
        <w:tabs>
          <w:tab w:val="num" w:pos="926"/>
        </w:tabs>
        <w:ind w:left="926" w:hanging="360"/>
      </w:pPr>
    </w:lvl>
  </w:abstractNum>
  <w:abstractNum w:abstractNumId="1" w15:restartNumberingAfterBreak="0">
    <w:nsid w:val="089E4BFE"/>
    <w:multiLevelType w:val="hybridMultilevel"/>
    <w:tmpl w:val="3DB0F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715AC9"/>
    <w:multiLevelType w:val="hybridMultilevel"/>
    <w:tmpl w:val="B36263B6"/>
    <w:lvl w:ilvl="0" w:tplc="86D4EB2C">
      <w:start w:val="1"/>
      <w:numFmt w:val="bullet"/>
      <w:lvlText w:val=""/>
      <w:lvlJc w:val="left"/>
      <w:pPr>
        <w:ind w:left="360" w:hanging="360"/>
      </w:pPr>
      <w:rPr>
        <w:rFonts w:ascii="Symbol" w:hAnsi="Symbol" w:hint="default"/>
        <w:color w:val="EB9A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27B37"/>
    <w:multiLevelType w:val="hybridMultilevel"/>
    <w:tmpl w:val="9A0C5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AC4DC2"/>
    <w:multiLevelType w:val="multilevel"/>
    <w:tmpl w:val="4F86525E"/>
    <w:lvl w:ilvl="0">
      <w:start w:val="1"/>
      <w:numFmt w:val="bullet"/>
      <w:lvlText w:val=""/>
      <w:lvlJc w:val="left"/>
      <w:pPr>
        <w:ind w:left="360" w:hanging="360"/>
      </w:pPr>
      <w:rPr>
        <w:rFonts w:ascii="Symbol" w:hAnsi="Symbol" w:cs="Symbol" w:hint="default"/>
        <w:color w:val="475AA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53E25C4"/>
    <w:multiLevelType w:val="hybridMultilevel"/>
    <w:tmpl w:val="18C0D07C"/>
    <w:lvl w:ilvl="0" w:tplc="D0422C66">
      <w:start w:val="1"/>
      <w:numFmt w:val="bullet"/>
      <w:lvlText w:val=""/>
      <w:lvlJc w:val="left"/>
      <w:pPr>
        <w:ind w:left="227" w:hanging="227"/>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600C9A"/>
    <w:multiLevelType w:val="hybridMultilevel"/>
    <w:tmpl w:val="4F86525E"/>
    <w:lvl w:ilvl="0" w:tplc="A2D8B1C2">
      <w:start w:val="1"/>
      <w:numFmt w:val="bullet"/>
      <w:lvlText w:val=""/>
      <w:lvlJc w:val="left"/>
      <w:pPr>
        <w:ind w:left="360" w:hanging="360"/>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6802D8"/>
    <w:multiLevelType w:val="hybridMultilevel"/>
    <w:tmpl w:val="92DC6426"/>
    <w:lvl w:ilvl="0" w:tplc="A2D8B1C2">
      <w:start w:val="1"/>
      <w:numFmt w:val="bullet"/>
      <w:lvlText w:val=""/>
      <w:lvlJc w:val="left"/>
      <w:pPr>
        <w:ind w:left="360" w:hanging="360"/>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2BF77D1"/>
    <w:multiLevelType w:val="multilevel"/>
    <w:tmpl w:val="18C0D07C"/>
    <w:lvl w:ilvl="0">
      <w:start w:val="1"/>
      <w:numFmt w:val="bullet"/>
      <w:lvlText w:val=""/>
      <w:lvlJc w:val="left"/>
      <w:pPr>
        <w:ind w:left="227" w:hanging="227"/>
      </w:pPr>
      <w:rPr>
        <w:rFonts w:ascii="Symbol" w:hAnsi="Symbol" w:cs="Symbol" w:hint="default"/>
        <w:color w:val="475AA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6E94AFF"/>
    <w:multiLevelType w:val="hybridMultilevel"/>
    <w:tmpl w:val="A7E21EB6"/>
    <w:lvl w:ilvl="0" w:tplc="B53E9DDE">
      <w:start w:val="1"/>
      <w:numFmt w:val="bullet"/>
      <w:pStyle w:val="HWPBULLET"/>
      <w:lvlText w:val=""/>
      <w:lvlJc w:val="left"/>
      <w:pPr>
        <w:ind w:left="170" w:hanging="170"/>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E9F1C15"/>
    <w:multiLevelType w:val="hybridMultilevel"/>
    <w:tmpl w:val="351E5162"/>
    <w:lvl w:ilvl="0" w:tplc="A2D8B1C2">
      <w:start w:val="1"/>
      <w:numFmt w:val="bullet"/>
      <w:lvlText w:val=""/>
      <w:lvlJc w:val="left"/>
      <w:pPr>
        <w:ind w:left="284" w:hanging="284"/>
      </w:pPr>
      <w:rPr>
        <w:rFonts w:ascii="Symbol" w:hAnsi="Symbol" w:cs="Symbol" w:hint="default"/>
        <w:color w:val="475A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0"/>
  </w:num>
  <w:num w:numId="3">
    <w:abstractNumId w:val="7"/>
  </w:num>
  <w:num w:numId="4">
    <w:abstractNumId w:val="6"/>
  </w:num>
  <w:num w:numId="5">
    <w:abstractNumId w:val="4"/>
  </w:num>
  <w:num w:numId="6">
    <w:abstractNumId w:val="5"/>
  </w:num>
  <w:num w:numId="7">
    <w:abstractNumId w:val="8"/>
  </w:num>
  <w:num w:numId="8">
    <w:abstractNumId w:val="9"/>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C3"/>
    <w:rsid w:val="00004ED8"/>
    <w:rsid w:val="00007937"/>
    <w:rsid w:val="0002495D"/>
    <w:rsid w:val="0005330A"/>
    <w:rsid w:val="00070094"/>
    <w:rsid w:val="000B74B7"/>
    <w:rsid w:val="000C51A4"/>
    <w:rsid w:val="000F3E2F"/>
    <w:rsid w:val="00116041"/>
    <w:rsid w:val="00137330"/>
    <w:rsid w:val="001714D8"/>
    <w:rsid w:val="0019074B"/>
    <w:rsid w:val="001A17A0"/>
    <w:rsid w:val="001C07E8"/>
    <w:rsid w:val="001F2EE7"/>
    <w:rsid w:val="002605A8"/>
    <w:rsid w:val="00260AAC"/>
    <w:rsid w:val="002619D1"/>
    <w:rsid w:val="00264D81"/>
    <w:rsid w:val="002C2075"/>
    <w:rsid w:val="002D2420"/>
    <w:rsid w:val="002E42BB"/>
    <w:rsid w:val="002F4A20"/>
    <w:rsid w:val="00341014"/>
    <w:rsid w:val="003441CC"/>
    <w:rsid w:val="00376234"/>
    <w:rsid w:val="00382F35"/>
    <w:rsid w:val="003C58A7"/>
    <w:rsid w:val="003D419E"/>
    <w:rsid w:val="004137A6"/>
    <w:rsid w:val="00427A02"/>
    <w:rsid w:val="00432171"/>
    <w:rsid w:val="00436316"/>
    <w:rsid w:val="00447CFF"/>
    <w:rsid w:val="00485ABA"/>
    <w:rsid w:val="00491274"/>
    <w:rsid w:val="004A390F"/>
    <w:rsid w:val="004C7502"/>
    <w:rsid w:val="004D5DDE"/>
    <w:rsid w:val="004F2DFD"/>
    <w:rsid w:val="00515F80"/>
    <w:rsid w:val="0051711E"/>
    <w:rsid w:val="00554507"/>
    <w:rsid w:val="00581E7E"/>
    <w:rsid w:val="005E00D4"/>
    <w:rsid w:val="00605C4D"/>
    <w:rsid w:val="006171D0"/>
    <w:rsid w:val="00623AC8"/>
    <w:rsid w:val="00687136"/>
    <w:rsid w:val="006963B9"/>
    <w:rsid w:val="006A4A49"/>
    <w:rsid w:val="006D476F"/>
    <w:rsid w:val="00705BC3"/>
    <w:rsid w:val="00727CD1"/>
    <w:rsid w:val="00745601"/>
    <w:rsid w:val="00763BB9"/>
    <w:rsid w:val="007A0A54"/>
    <w:rsid w:val="007B037C"/>
    <w:rsid w:val="007F0DCB"/>
    <w:rsid w:val="008066AD"/>
    <w:rsid w:val="00822EF2"/>
    <w:rsid w:val="00831E7C"/>
    <w:rsid w:val="008618FC"/>
    <w:rsid w:val="008D1BF6"/>
    <w:rsid w:val="008E0571"/>
    <w:rsid w:val="009210FF"/>
    <w:rsid w:val="00933692"/>
    <w:rsid w:val="0095743C"/>
    <w:rsid w:val="009659FD"/>
    <w:rsid w:val="0099210B"/>
    <w:rsid w:val="009E2EA1"/>
    <w:rsid w:val="009E3130"/>
    <w:rsid w:val="00A21375"/>
    <w:rsid w:val="00A465F0"/>
    <w:rsid w:val="00A652BD"/>
    <w:rsid w:val="00A756B5"/>
    <w:rsid w:val="00AC07E2"/>
    <w:rsid w:val="00AC3E21"/>
    <w:rsid w:val="00AD553B"/>
    <w:rsid w:val="00AD5E3B"/>
    <w:rsid w:val="00B022D8"/>
    <w:rsid w:val="00B36E3A"/>
    <w:rsid w:val="00B97D2D"/>
    <w:rsid w:val="00BD4523"/>
    <w:rsid w:val="00C169C9"/>
    <w:rsid w:val="00C30363"/>
    <w:rsid w:val="00C432AB"/>
    <w:rsid w:val="00C505E5"/>
    <w:rsid w:val="00C82424"/>
    <w:rsid w:val="00C92DC7"/>
    <w:rsid w:val="00CA7506"/>
    <w:rsid w:val="00CC080B"/>
    <w:rsid w:val="00CC219E"/>
    <w:rsid w:val="00D26239"/>
    <w:rsid w:val="00D4244C"/>
    <w:rsid w:val="00D6575F"/>
    <w:rsid w:val="00D70574"/>
    <w:rsid w:val="00D77CC0"/>
    <w:rsid w:val="00DC71FD"/>
    <w:rsid w:val="00DF6E89"/>
    <w:rsid w:val="00E23F5E"/>
    <w:rsid w:val="00E25551"/>
    <w:rsid w:val="00E55C47"/>
    <w:rsid w:val="00E92E5F"/>
    <w:rsid w:val="00E9692F"/>
    <w:rsid w:val="00EC59E4"/>
    <w:rsid w:val="00ED0093"/>
    <w:rsid w:val="00EF47CF"/>
    <w:rsid w:val="00F45527"/>
    <w:rsid w:val="00FA6BAC"/>
    <w:rsid w:val="00FD5D92"/>
    <w:rsid w:val="00FF1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80DA3"/>
  <w15:chartTrackingRefBased/>
  <w15:docId w15:val="{43AC616B-4F2A-5348-A938-4832D281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basedOn w:val="Normal"/>
    <w:qFormat/>
    <w:rsid w:val="00C505E5"/>
    <w:pPr>
      <w:tabs>
        <w:tab w:val="left" w:pos="2960"/>
      </w:tabs>
      <w:autoSpaceDE w:val="0"/>
      <w:autoSpaceDN w:val="0"/>
      <w:adjustRightInd w:val="0"/>
      <w:spacing w:after="60"/>
      <w:textAlignment w:val="center"/>
    </w:pPr>
    <w:rPr>
      <w:rFonts w:ascii="Calibri" w:hAnsi="Calibri" w:cs="Calibri"/>
      <w:b/>
      <w:bCs/>
      <w:color w:val="FFFFFF" w:themeColor="background1"/>
      <w:sz w:val="26"/>
      <w:szCs w:val="26"/>
      <w:lang w:val="en-US"/>
      <w14:textOutline w14:w="9525" w14:cap="flat" w14:cmpd="sng" w14:algn="ctr">
        <w14:noFill/>
        <w14:prstDash w14:val="solid"/>
        <w14:round/>
      </w14:textOutline>
    </w:rPr>
  </w:style>
  <w:style w:type="character" w:customStyle="1" w:styleId="Hyperlink2">
    <w:name w:val="Hyperlink2"/>
    <w:basedOn w:val="DefaultParagraphFont"/>
    <w:uiPriority w:val="1"/>
    <w:qFormat/>
    <w:rsid w:val="00AC07E2"/>
    <w:rPr>
      <w:rFonts w:ascii="Century Gothic" w:hAnsi="Century Gothic"/>
      <w:b w:val="0"/>
      <w:i/>
      <w:color w:val="405090"/>
      <w:u w:val="single"/>
    </w:rPr>
  </w:style>
  <w:style w:type="paragraph" w:customStyle="1" w:styleId="BodyCopy">
    <w:name w:val="Body Copy"/>
    <w:basedOn w:val="Normal"/>
    <w:qFormat/>
    <w:rsid w:val="00C505E5"/>
    <w:pPr>
      <w:autoSpaceDE w:val="0"/>
      <w:autoSpaceDN w:val="0"/>
      <w:adjustRightInd w:val="0"/>
      <w:textAlignment w:val="center"/>
    </w:pPr>
    <w:rPr>
      <w:rFonts w:ascii="Calibri" w:hAnsi="Calibri" w:cs="Calibri"/>
      <w:color w:val="4B4F54"/>
      <w:lang w:val="en-US"/>
    </w:rPr>
  </w:style>
  <w:style w:type="paragraph" w:styleId="BalloonText">
    <w:name w:val="Balloon Text"/>
    <w:basedOn w:val="Normal"/>
    <w:link w:val="BalloonTextChar"/>
    <w:uiPriority w:val="99"/>
    <w:semiHidden/>
    <w:unhideWhenUsed/>
    <w:rsid w:val="00E23F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3F5E"/>
    <w:rPr>
      <w:rFonts w:ascii="Times New Roman" w:eastAsiaTheme="minorEastAsia" w:hAnsi="Times New Roman" w:cs="Times New Roman"/>
      <w:sz w:val="18"/>
      <w:szCs w:val="18"/>
    </w:rPr>
  </w:style>
  <w:style w:type="paragraph" w:styleId="ListParagraph">
    <w:name w:val="List Paragraph"/>
    <w:basedOn w:val="Normal"/>
    <w:link w:val="ListParagraphChar"/>
    <w:uiPriority w:val="34"/>
    <w:qFormat/>
    <w:rsid w:val="00004ED8"/>
    <w:pPr>
      <w:ind w:left="720"/>
      <w:contextualSpacing/>
    </w:pPr>
  </w:style>
  <w:style w:type="paragraph" w:customStyle="1" w:styleId="HWPTITLE">
    <w:name w:val="HWP TITLE"/>
    <w:basedOn w:val="Normal"/>
    <w:qFormat/>
    <w:rsid w:val="00E25551"/>
    <w:rPr>
      <w:rFonts w:ascii="Century Gothic Pro" w:hAnsi="Century Gothic Pro" w:cs="Times New Roman (Body CS)"/>
      <w:b/>
      <w:bCs/>
      <w:color w:val="405090"/>
      <w:sz w:val="60"/>
    </w:rPr>
  </w:style>
  <w:style w:type="paragraph" w:customStyle="1" w:styleId="HWPINTROTEXT">
    <w:name w:val="HWP INTRO TEXT"/>
    <w:basedOn w:val="Normal"/>
    <w:qFormat/>
    <w:rsid w:val="00E25551"/>
    <w:pPr>
      <w:spacing w:line="336" w:lineRule="exact"/>
    </w:pPr>
    <w:rPr>
      <w:rFonts w:ascii="Century Gothic Pro" w:hAnsi="Century Gothic Pro" w:cs="Times New Roman (Body CS)"/>
      <w:b/>
      <w:color w:val="405090"/>
      <w:sz w:val="28"/>
    </w:rPr>
  </w:style>
  <w:style w:type="paragraph" w:customStyle="1" w:styleId="HWPSMALLHEADING">
    <w:name w:val="HWP SMALL HEADING"/>
    <w:basedOn w:val="Normal"/>
    <w:qFormat/>
    <w:rsid w:val="00E25551"/>
    <w:pPr>
      <w:spacing w:line="216" w:lineRule="exact"/>
    </w:pPr>
    <w:rPr>
      <w:rFonts w:ascii="Century Gothic Pro" w:hAnsi="Century Gothic Pro" w:cs="Times New Roman (Body CS)"/>
      <w:b/>
      <w:caps/>
      <w:color w:val="405090"/>
      <w:spacing w:val="10"/>
      <w:sz w:val="18"/>
    </w:rPr>
  </w:style>
  <w:style w:type="paragraph" w:customStyle="1" w:styleId="HWPBODY">
    <w:name w:val="HWP BODY"/>
    <w:basedOn w:val="Normal"/>
    <w:qFormat/>
    <w:rsid w:val="00AC07E2"/>
    <w:pPr>
      <w:spacing w:after="80" w:line="240" w:lineRule="exact"/>
    </w:pPr>
    <w:rPr>
      <w:rFonts w:ascii="Century Gothic Pro" w:hAnsi="Century Gothic Pro" w:cs="Times New Roman (Body CS)"/>
      <w:color w:val="0C324C"/>
      <w:sz w:val="20"/>
    </w:rPr>
  </w:style>
  <w:style w:type="table" w:styleId="TableGrid">
    <w:name w:val="Table Grid"/>
    <w:basedOn w:val="TableNormal"/>
    <w:uiPriority w:val="39"/>
    <w:rsid w:val="0000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PBULLET">
    <w:name w:val="HWP BULLET"/>
    <w:basedOn w:val="ListParagraph"/>
    <w:qFormat/>
    <w:rsid w:val="00E25551"/>
    <w:pPr>
      <w:numPr>
        <w:numId w:val="8"/>
      </w:numPr>
      <w:spacing w:line="240" w:lineRule="exact"/>
    </w:pPr>
    <w:rPr>
      <w:rFonts w:ascii="Century Gothic Pro" w:hAnsi="Century Gothic Pro" w:cs="Times New Roman (Body CS)"/>
      <w:color w:val="0C324C"/>
      <w:sz w:val="20"/>
    </w:rPr>
  </w:style>
  <w:style w:type="character" w:styleId="PageNumber">
    <w:name w:val="page number"/>
    <w:basedOn w:val="DefaultParagraphFont"/>
    <w:uiPriority w:val="99"/>
    <w:semiHidden/>
    <w:unhideWhenUsed/>
    <w:rsid w:val="00605C4D"/>
  </w:style>
  <w:style w:type="paragraph" w:customStyle="1" w:styleId="HWPTABLEHEADER">
    <w:name w:val="HWP TABLE HEADER"/>
    <w:basedOn w:val="HWPSMALLHEADING"/>
    <w:qFormat/>
    <w:rsid w:val="00EF47CF"/>
    <w:rPr>
      <w:color w:val="FFFFFF" w:themeColor="background1"/>
    </w:rPr>
  </w:style>
  <w:style w:type="character" w:styleId="FollowedHyperlink">
    <w:name w:val="FollowedHyperlink"/>
    <w:basedOn w:val="DefaultParagraphFont"/>
    <w:uiPriority w:val="99"/>
    <w:semiHidden/>
    <w:unhideWhenUsed/>
    <w:rsid w:val="00447CFF"/>
    <w:rPr>
      <w:color w:val="954F72" w:themeColor="followedHyperlink"/>
      <w:u w:val="single"/>
    </w:rPr>
  </w:style>
  <w:style w:type="table" w:styleId="TableGrid1">
    <w:name w:val="Table Grid 1"/>
    <w:basedOn w:val="TableNormal"/>
    <w:uiPriority w:val="99"/>
    <w:semiHidden/>
    <w:unhideWhenUsed/>
    <w:rsid w:val="0051711E"/>
    <w:pPr>
      <w:spacing w:after="151" w:line="240" w:lineRule="atLeast"/>
    </w:pPr>
    <w:rPr>
      <w:rFonts w:ascii="Calibri" w:eastAsia="Calibri"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WPHYPERLINK">
    <w:name w:val="HWP HYPERLINK"/>
    <w:basedOn w:val="HWPBODY"/>
    <w:qFormat/>
    <w:rsid w:val="00E25551"/>
    <w:rPr>
      <w:i/>
      <w:color w:val="405090"/>
      <w:u w:val="single"/>
    </w:rPr>
  </w:style>
  <w:style w:type="paragraph" w:customStyle="1" w:styleId="HWPTABLESMALL">
    <w:name w:val="HWP TABLE SMALL"/>
    <w:basedOn w:val="HWPBODY"/>
    <w:qFormat/>
    <w:rsid w:val="0051711E"/>
    <w:rPr>
      <w:sz w:val="18"/>
      <w:szCs w:val="18"/>
    </w:rPr>
  </w:style>
  <w:style w:type="table" w:customStyle="1" w:styleId="SAHealthTable2">
    <w:name w:val="SA Health Table 2"/>
    <w:basedOn w:val="TableNormal"/>
    <w:uiPriority w:val="99"/>
    <w:rsid w:val="00A21375"/>
    <w:pPr>
      <w:jc w:val="right"/>
    </w:pPr>
    <w:rPr>
      <w:rFonts w:ascii="Arial" w:eastAsia="Calibri" w:hAnsi="Arial" w:cs="Times New Roman"/>
      <w:sz w:val="20"/>
      <w:szCs w:val="20"/>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character" w:customStyle="1" w:styleId="UnresolvedMention">
    <w:name w:val="Unresolved Mention"/>
    <w:basedOn w:val="DefaultParagraphFont"/>
    <w:uiPriority w:val="99"/>
    <w:semiHidden/>
    <w:unhideWhenUsed/>
    <w:rsid w:val="00515F80"/>
    <w:rPr>
      <w:color w:val="605E5C"/>
      <w:shd w:val="clear" w:color="auto" w:fill="E1DFDD"/>
    </w:rPr>
  </w:style>
  <w:style w:type="paragraph" w:styleId="Title">
    <w:name w:val="Title"/>
    <w:basedOn w:val="Normal"/>
    <w:next w:val="Normal"/>
    <w:link w:val="TitleChar"/>
    <w:uiPriority w:val="10"/>
    <w:qFormat/>
    <w:rsid w:val="00FF19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99B"/>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FF199B"/>
    <w:rPr>
      <w:rFonts w:eastAsiaTheme="minorEastAsia"/>
    </w:rPr>
  </w:style>
  <w:style w:type="character" w:styleId="CommentReference">
    <w:name w:val="annotation reference"/>
    <w:uiPriority w:val="99"/>
    <w:semiHidden/>
    <w:unhideWhenUsed/>
    <w:rsid w:val="00FF199B"/>
    <w:rPr>
      <w:sz w:val="16"/>
      <w:szCs w:val="16"/>
    </w:rPr>
  </w:style>
  <w:style w:type="character" w:styleId="Hyperlink">
    <w:name w:val="Hyperlink"/>
    <w:basedOn w:val="DefaultParagraphFont"/>
    <w:uiPriority w:val="99"/>
    <w:unhideWhenUsed/>
    <w:rsid w:val="004D5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irm.org.au/" TargetMode="External"/><Relationship Id="rId13" Type="http://schemas.openxmlformats.org/officeDocument/2006/relationships/hyperlink" Target="https://www.humanrights.vic.gov.au/for-individuals/disability-and-the-workplace/" TargetMode="External"/><Relationship Id="rId18" Type="http://schemas.openxmlformats.org/officeDocument/2006/relationships/hyperlink" Target="https://www.safeworkaustralia.gov.au/safety-topic/managing-health-and-safety/identify-assess-and-control-hazards/managing-risks" TargetMode="External"/><Relationship Id="rId26" Type="http://schemas.openxmlformats.org/officeDocument/2006/relationships/hyperlink" Target="https://choose.physio/" TargetMode="External"/><Relationship Id="rId3" Type="http://schemas.openxmlformats.org/officeDocument/2006/relationships/styles" Target="styles.xml"/><Relationship Id="rId21" Type="http://schemas.openxmlformats.org/officeDocument/2006/relationships/hyperlink" Target="https://www.smartworkdesign.com.a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afeworkaustralia.gov.au/sites/default/files/2022-08/model_code_of_practice_-_managing_psychosocial_hazards_at_work_25082022_0.pdf" TargetMode="External"/><Relationship Id="rId17" Type="http://schemas.openxmlformats.org/officeDocument/2006/relationships/hyperlink" Target="https://www.ergonomics.org.au/" TargetMode="External"/><Relationship Id="rId25" Type="http://schemas.openxmlformats.org/officeDocument/2006/relationships/hyperlink" Target="https://www.safework.sa.gov.au/workers/consultation-and-representatio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umanrights.gov.au/quick-guide/12084" TargetMode="External"/><Relationship Id="rId20" Type="http://schemas.openxmlformats.org/officeDocument/2006/relationships/hyperlink" Target="https://youtu.be/dLFmQF081RY" TargetMode="External"/><Relationship Id="rId29" Type="http://schemas.openxmlformats.org/officeDocument/2006/relationships/hyperlink" Target="https://www.comcare.gov.au/safe-healthy-work/research-evidence/research-projects/early-intervention-service-pilot-research-proj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workers-compensation/national-return-work-strategy" TargetMode="External"/><Relationship Id="rId24" Type="http://schemas.openxmlformats.org/officeDocument/2006/relationships/hyperlink" Target="https://www.safeworkaustralia.gov.au/doc/model-code-practice-work-health-and-safety-consultation-cooperation-and-coordinatio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qualopportunity.sa.gov.au/" TargetMode="External"/><Relationship Id="rId23" Type="http://schemas.openxmlformats.org/officeDocument/2006/relationships/hyperlink" Target="https://www.safeworkaustralia.gov.au/sites/default/files/2020-05/Working_from_home_Workstation_Setup_%20Guide-COVID-19.pdf" TargetMode="External"/><Relationship Id="rId28" Type="http://schemas.openxmlformats.org/officeDocument/2006/relationships/hyperlink" Target="https://healthyworkplaces.sa.gov.au/?a=894788" TargetMode="External"/><Relationship Id="rId36" Type="http://schemas.openxmlformats.org/officeDocument/2006/relationships/theme" Target="theme/theme1.xml"/><Relationship Id="rId10" Type="http://schemas.openxmlformats.org/officeDocument/2006/relationships/hyperlink" Target="https://www.rtwsa.com/insurance/return-to-work-coordinators/workplace-advisory-services" TargetMode="External"/><Relationship Id="rId19" Type="http://schemas.openxmlformats.org/officeDocument/2006/relationships/hyperlink" Target="https://www.safeworkaustralia.gov.au/safety-topic/managing-health-and-safety/good-work-design" TargetMode="External"/><Relationship Id="rId31" Type="http://schemas.openxmlformats.org/officeDocument/2006/relationships/hyperlink" Target="https://www.arthritis.org/health-wellness/healthy-living/daily-living/work-life-balance/working-when-you-have-arthritis" TargetMode="External"/><Relationship Id="rId4" Type="http://schemas.openxmlformats.org/officeDocument/2006/relationships/settings" Target="settings.xml"/><Relationship Id="rId9" Type="http://schemas.openxmlformats.org/officeDocument/2006/relationships/hyperlink" Target="https://www.safeworkaustralia.gov.au/system/files/documents/1905/model-cop-hazardous-manual-tasks.pdf" TargetMode="External"/><Relationship Id="rId14" Type="http://schemas.openxmlformats.org/officeDocument/2006/relationships/hyperlink" Target="https://www.youtube.com/watch?v=i_W6XfUTM5Y" TargetMode="External"/><Relationship Id="rId22" Type="http://schemas.openxmlformats.org/officeDocument/2006/relationships/hyperlink" Target="https://www.safeworkaustralia.gov.au/safety-topic/managing-health-and-safety/identify-assess-and-control-hazards/managing-risks" TargetMode="External"/><Relationship Id="rId27" Type="http://schemas.openxmlformats.org/officeDocument/2006/relationships/hyperlink" Target="https://otaus.com.au/find-an-ot" TargetMode="External"/><Relationship Id="rId30" Type="http://schemas.openxmlformats.org/officeDocument/2006/relationships/hyperlink" Target="https://www.arthritis.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2001A-8597-43A4-8ED7-BD8D3D98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620</Words>
  <Characters>3820</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and Muscle Pain Resource Referral Guide</dc:title>
  <dc:subject/>
  <dc:creator>Wellbeing SA</dc:creator>
  <cp:keywords/>
  <dc:description/>
  <cp:lastModifiedBy>Holt, Shirley</cp:lastModifiedBy>
  <cp:revision>7</cp:revision>
  <cp:lastPrinted>2022-12-15T00:48:00Z</cp:lastPrinted>
  <dcterms:created xsi:type="dcterms:W3CDTF">2023-04-04T06:50:00Z</dcterms:created>
  <dcterms:modified xsi:type="dcterms:W3CDTF">2023-05-29T06:12:00Z</dcterms:modified>
</cp:coreProperties>
</file>