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4C890" w14:textId="77777777" w:rsidR="00AA4BD0" w:rsidRPr="00E55C47" w:rsidRDefault="00AA4BD0" w:rsidP="00AA4BD0">
      <w:pPr>
        <w:pStyle w:val="HWPTITLE"/>
        <w:rPr>
          <w:rFonts w:eastAsia="MS Gothic"/>
        </w:rPr>
      </w:pPr>
      <w:bookmarkStart w:id="0" w:name="_GoBack"/>
      <w:r w:rsidRPr="00E55C47">
        <w:rPr>
          <w:rFonts w:eastAsia="MS Gothic"/>
        </w:rPr>
        <w:t>Sleep and Fatigue Resource Referral Guide</w:t>
      </w:r>
    </w:p>
    <w:bookmarkEnd w:id="0"/>
    <w:p w14:paraId="47F96B1C" w14:textId="6D219CE1" w:rsidR="00E92E5F" w:rsidRPr="002C1747" w:rsidRDefault="00E92E5F" w:rsidP="002C1747">
      <w:pPr>
        <w:pStyle w:val="HWPINTROTEXT"/>
        <w:rPr>
          <w:sz w:val="27"/>
          <w:szCs w:val="27"/>
        </w:rPr>
      </w:pPr>
      <w:r>
        <w:br/>
      </w:r>
      <w:r w:rsidR="00AA4BD0" w:rsidRPr="00A36AC7">
        <w:rPr>
          <w:sz w:val="27"/>
          <w:szCs w:val="27"/>
        </w:rPr>
        <w:t xml:space="preserve">This table lists a number of local and nationally recognised organisations that support workplaces </w:t>
      </w:r>
      <w:r w:rsidR="00AA4BD0">
        <w:rPr>
          <w:sz w:val="27"/>
          <w:szCs w:val="27"/>
        </w:rPr>
        <w:br/>
      </w:r>
      <w:r w:rsidR="00AA4BD0" w:rsidRPr="00A36AC7">
        <w:rPr>
          <w:sz w:val="27"/>
          <w:szCs w:val="27"/>
        </w:rPr>
        <w:t>and individuals to manage sleep and fatigue</w:t>
      </w:r>
      <w:r w:rsidR="00AA4BD0">
        <w:rPr>
          <w:sz w:val="27"/>
          <w:szCs w:val="27"/>
        </w:rPr>
        <w:t>.</w:t>
      </w:r>
    </w:p>
    <w:p w14:paraId="735F0952" w14:textId="77777777" w:rsidR="00E92E5F" w:rsidRPr="00761519" w:rsidRDefault="00E92E5F" w:rsidP="00761519">
      <w:pPr>
        <w:pStyle w:val="HWPBODY"/>
      </w:pPr>
    </w:p>
    <w:tbl>
      <w:tblPr>
        <w:tblStyle w:val="TableGrid"/>
        <w:tblW w:w="15732" w:type="dxa"/>
        <w:tblBorders>
          <w:top w:val="single" w:sz="4" w:space="0" w:color="405090"/>
          <w:left w:val="single" w:sz="4" w:space="0" w:color="405090"/>
          <w:bottom w:val="single" w:sz="4" w:space="0" w:color="405090"/>
          <w:right w:val="single" w:sz="4" w:space="0" w:color="405090"/>
          <w:insideH w:val="single" w:sz="4" w:space="0" w:color="405090"/>
          <w:insideV w:val="single" w:sz="4" w:space="0" w:color="405090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6"/>
        <w:gridCol w:w="7935"/>
      </w:tblGrid>
      <w:tr w:rsidR="00381295" w14:paraId="49A93DF2" w14:textId="77777777" w:rsidTr="003104EB">
        <w:tc>
          <w:tcPr>
            <w:tcW w:w="3969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39BE24" w14:textId="77777777" w:rsidR="00381295" w:rsidRPr="00EF47CF" w:rsidRDefault="00381295" w:rsidP="003104EB">
            <w:pPr>
              <w:pStyle w:val="HWPTABLEHEADER"/>
              <w:rPr>
                <w:iCs/>
                <w:sz w:val="20"/>
              </w:rPr>
            </w:pPr>
            <w:r w:rsidRPr="00EF47CF">
              <w:rPr>
                <w:rFonts w:cs="Arial"/>
                <w:iCs/>
              </w:rPr>
              <w:t>Strategies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06A29" w14:textId="77777777" w:rsidR="00381295" w:rsidRDefault="00381295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vision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355CC4" w14:textId="77777777" w:rsidR="00381295" w:rsidRDefault="00381295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places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34BC0C" w14:textId="77777777" w:rsidR="00381295" w:rsidRDefault="00381295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peopl</w:t>
            </w:r>
            <w:r>
              <w:t>e</w:t>
            </w:r>
          </w:p>
        </w:tc>
        <w:tc>
          <w:tcPr>
            <w:tcW w:w="7935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EE0F7" w14:textId="77777777" w:rsidR="00381295" w:rsidRDefault="00381295" w:rsidP="003104EB">
            <w:pPr>
              <w:pStyle w:val="HWPTABLEHEADER"/>
              <w:rPr>
                <w:color w:val="000000" w:themeColor="text1"/>
                <w:sz w:val="20"/>
              </w:rPr>
            </w:pPr>
            <w:r>
              <w:t xml:space="preserve"> resources</w:t>
            </w:r>
          </w:p>
        </w:tc>
      </w:tr>
      <w:tr w:rsidR="00381295" w:rsidRPr="00A36AC7" w14:paraId="3A6DB8A9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BA3B10" w14:textId="77777777" w:rsidR="00381295" w:rsidRPr="00AA4BD0" w:rsidRDefault="00381295" w:rsidP="00AA4BD0">
            <w:pPr>
              <w:pStyle w:val="HWPBODY"/>
            </w:pPr>
            <w:r w:rsidRPr="00AA4BD0">
              <w:t xml:space="preserve">Develop a policy and procedure to identify and manage fatigue-related hazards/risks in the workplace. </w:t>
            </w:r>
          </w:p>
          <w:p w14:paraId="0F78BFF7" w14:textId="77777777" w:rsidR="00381295" w:rsidRPr="00AA4BD0" w:rsidRDefault="00381295" w:rsidP="00AA4BD0">
            <w:pPr>
              <w:pStyle w:val="HWPBODY"/>
            </w:pPr>
            <w:r w:rsidRPr="00AA4BD0">
              <w:t>This should include worker consultation and sector specific recommendations/regulations.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69109E" w14:textId="77777777" w:rsidR="00381295" w:rsidRPr="006D476F" w:rsidRDefault="00381295" w:rsidP="003104EB">
            <w:pPr>
              <w:pStyle w:val="HWPBODY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AF457B" w14:textId="77777777" w:rsidR="00381295" w:rsidRDefault="00381295" w:rsidP="003104EB">
            <w:pPr>
              <w:pStyle w:val="HWPBODY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094F7C" w14:textId="77777777" w:rsidR="00381295" w:rsidRDefault="00381295" w:rsidP="003104EB">
            <w:pPr>
              <w:pStyle w:val="HWPBODY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3B0CAF" w14:textId="77777777" w:rsidR="00381295" w:rsidRPr="00AA4BD0" w:rsidRDefault="00381295" w:rsidP="00AA4BD0">
            <w:pPr>
              <w:pStyle w:val="HWPBODY"/>
            </w:pPr>
            <w:r w:rsidRPr="00AA4BD0">
              <w:t xml:space="preserve">Safe Work </w:t>
            </w:r>
            <w:r w:rsidRPr="00AA4BD0">
              <w:rPr>
                <w:rStyle w:val="Hyperlink2"/>
              </w:rPr>
              <w:t xml:space="preserve">Australia’s </w:t>
            </w:r>
            <w:hyperlink r:id="rId8" w:history="1">
              <w:r w:rsidRPr="00AA4BD0">
                <w:rPr>
                  <w:rStyle w:val="Hyperlink2"/>
                </w:rPr>
                <w:t>guide-managing-risk-fatigue-work</w:t>
              </w:r>
            </w:hyperlink>
          </w:p>
          <w:p w14:paraId="4E6257BC" w14:textId="77777777" w:rsidR="00381295" w:rsidRPr="00AA4BD0" w:rsidRDefault="00381295" w:rsidP="00AA4BD0">
            <w:pPr>
              <w:pStyle w:val="HWPBODY"/>
            </w:pPr>
            <w:r w:rsidRPr="00AA4BD0">
              <w:t xml:space="preserve">Heavy Vehicle </w:t>
            </w:r>
            <w:hyperlink r:id="rId9" w:history="1">
              <w:r w:rsidRPr="00AA4BD0">
                <w:rPr>
                  <w:rStyle w:val="Hyperlink2"/>
                </w:rPr>
                <w:t>Fatigue management | NHVR</w:t>
              </w:r>
            </w:hyperlink>
          </w:p>
          <w:p w14:paraId="2DCCB00C" w14:textId="77777777" w:rsidR="00381295" w:rsidRPr="00AA4BD0" w:rsidRDefault="00381295" w:rsidP="00AA4BD0">
            <w:pPr>
              <w:pStyle w:val="HWPBODY"/>
            </w:pPr>
            <w:r w:rsidRPr="00AA4BD0">
              <w:t xml:space="preserve">Rail </w:t>
            </w:r>
            <w:hyperlink r:id="rId10" w:history="1">
              <w:r w:rsidRPr="00AA4BD0">
                <w:rPr>
                  <w:rStyle w:val="Hyperlink2"/>
                </w:rPr>
                <w:t>Managing fatigue | ONRSR</w:t>
              </w:r>
            </w:hyperlink>
          </w:p>
          <w:p w14:paraId="208A93A7" w14:textId="77777777" w:rsidR="00381295" w:rsidRPr="00AA4BD0" w:rsidRDefault="00381295" w:rsidP="00AA4BD0">
            <w:pPr>
              <w:pStyle w:val="HWPBODY"/>
            </w:pPr>
            <w:r w:rsidRPr="00AA4BD0">
              <w:t xml:space="preserve">Emergency Services  </w:t>
            </w:r>
            <w:hyperlink r:id="rId11" w:history="1">
              <w:r w:rsidRPr="00AA4BD0">
                <w:rPr>
                  <w:rStyle w:val="Hyperlink2"/>
                </w:rPr>
                <w:t>Emergency_services_guideline_for_risk_managing_fatigue.pdf (safework.sa.gov.au)</w:t>
              </w:r>
            </w:hyperlink>
          </w:p>
          <w:p w14:paraId="7F4F3898" w14:textId="77777777" w:rsidR="00381295" w:rsidRPr="00AA4BD0" w:rsidRDefault="00381295" w:rsidP="00AA4BD0">
            <w:pPr>
              <w:pStyle w:val="HWPBODY"/>
            </w:pPr>
            <w:r w:rsidRPr="00AA4BD0">
              <w:t xml:space="preserve">Health Care </w:t>
            </w:r>
          </w:p>
          <w:p w14:paraId="1D3B11A3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12" w:anchor=":~:text=Healthcare%20workers%20experience%20fatigue%20for%20a%20variety%20of,associated%20with%20long%20working%20hours%20and%20extreme%20fatigue." w:history="1">
              <w:r w:rsidR="00381295" w:rsidRPr="00AA4BD0">
                <w:rPr>
                  <w:rStyle w:val="Hyperlink2"/>
                </w:rPr>
                <w:t>Centre for Clinical Effectiveness (monashhealth.org)</w:t>
              </w:r>
            </w:hyperlink>
          </w:p>
          <w:p w14:paraId="7E205BC6" w14:textId="77777777" w:rsidR="00381295" w:rsidRPr="00A36AC7" w:rsidRDefault="00D670FC" w:rsidP="00AA4BD0">
            <w:pPr>
              <w:pStyle w:val="HWPBODY"/>
              <w:rPr>
                <w:sz w:val="19"/>
                <w:szCs w:val="19"/>
              </w:rPr>
            </w:pPr>
            <w:hyperlink r:id="rId13" w:history="1">
              <w:r w:rsidR="00381295" w:rsidRPr="00AA4BD0">
                <w:rPr>
                  <w:rStyle w:val="Hyperlink2"/>
                </w:rPr>
                <w:t>The Impacts of Fatigue in Healthcare | Ausmed</w:t>
              </w:r>
            </w:hyperlink>
          </w:p>
        </w:tc>
      </w:tr>
      <w:tr w:rsidR="00381295" w:rsidRPr="00A36AC7" w14:paraId="61E9DF53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1FD72" w14:textId="77777777" w:rsidR="00381295" w:rsidRPr="00AA4BD0" w:rsidRDefault="00381295" w:rsidP="00AA4BD0">
            <w:pPr>
              <w:pStyle w:val="HWPBODY"/>
            </w:pPr>
            <w:r w:rsidRPr="00AA4BD0">
              <w:t>Design controls using a ‘defences in depth’ approach and make sure all affected staff members are consulted throughout the change process.</w:t>
            </w:r>
          </w:p>
          <w:p w14:paraId="4A74ADEB" w14:textId="77777777" w:rsidR="00381295" w:rsidRPr="00AA4BD0" w:rsidRDefault="00381295" w:rsidP="00AA4BD0">
            <w:pPr>
              <w:pStyle w:val="HWPBODY"/>
            </w:pPr>
            <w:r w:rsidRPr="00AA4BD0">
              <w:lastRenderedPageBreak/>
              <w:t>It can help to trial interventions and obtain feedback before officially adopting them.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40F05A" w14:textId="77777777" w:rsidR="00381295" w:rsidRDefault="0038129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lastRenderedPageBreak/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51A0AF" w14:textId="77777777" w:rsidR="00381295" w:rsidRDefault="00381295" w:rsidP="003104EB">
            <w:pPr>
              <w:pStyle w:val="HWPTABLESMALL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E3A4F" w14:textId="77777777" w:rsidR="00381295" w:rsidRDefault="0038129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FAF49" w14:textId="77777777" w:rsidR="00381295" w:rsidRPr="00AA4BD0" w:rsidRDefault="00381295" w:rsidP="00AA4BD0">
            <w:pPr>
              <w:pStyle w:val="HWPBODY"/>
            </w:pPr>
            <w:r w:rsidRPr="00AA4BD0">
              <w:t xml:space="preserve">Australian Institute of Health and Safety (AIHS) </w:t>
            </w:r>
            <w:hyperlink r:id="rId14" w:history="1">
              <w:r w:rsidRPr="00AA4BD0">
                <w:rPr>
                  <w:rStyle w:val="Hyperlink2"/>
                </w:rPr>
                <w:t>Defences in Depth (DiD</w:t>
              </w:r>
            </w:hyperlink>
            <w:r w:rsidRPr="00AA4BD0">
              <w:rPr>
                <w:rStyle w:val="Hyperlink2"/>
              </w:rPr>
              <w:t>)</w:t>
            </w:r>
            <w:r w:rsidRPr="00AA4BD0">
              <w:t xml:space="preserve"> approach to fatigue management from</w:t>
            </w:r>
          </w:p>
          <w:p w14:paraId="4DD43B0A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15" w:history="1">
              <w:r w:rsidR="00381295" w:rsidRPr="00AA4BD0">
                <w:rPr>
                  <w:rStyle w:val="Hyperlink2"/>
                </w:rPr>
                <w:t>Fatigue Maturity Assessment (ethoshealth.com.au)</w:t>
              </w:r>
            </w:hyperlink>
          </w:p>
        </w:tc>
      </w:tr>
      <w:tr w:rsidR="00381295" w:rsidRPr="00A36AC7" w14:paraId="1227FC08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8F7188" w14:textId="27B30A8A" w:rsidR="00381295" w:rsidRPr="00AA4BD0" w:rsidRDefault="00381295" w:rsidP="00AA4BD0">
            <w:pPr>
              <w:pStyle w:val="HWPBODY"/>
            </w:pPr>
            <w:r w:rsidRPr="00AA4BD0">
              <w:t>Develop a clear procedure for workers to report fatigue-related risks, including self-reporting of fatigue and co-worker action if someone is displaying fatigue impairment. Include steps for getting fatigued workers home safely (e.g., provide rest areas and transport).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033BCF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1A4007" w14:textId="77777777" w:rsidR="00381295" w:rsidRDefault="00381295" w:rsidP="003104EB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171F7C" w14:textId="77777777" w:rsidR="00381295" w:rsidRDefault="0038129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FDB2B" w14:textId="77777777" w:rsidR="00381295" w:rsidRPr="00AA4BD0" w:rsidRDefault="00381295" w:rsidP="00AA4BD0">
            <w:pPr>
              <w:pStyle w:val="HWPBODY"/>
            </w:pPr>
            <w:r w:rsidRPr="00AA4BD0">
              <w:t xml:space="preserve">Safe Work Australia’s </w:t>
            </w:r>
            <w:hyperlink w:history="1">
              <w:r w:rsidRPr="00AA4BD0">
                <w:rPr>
                  <w:rStyle w:val="Hyperlink2"/>
                </w:rPr>
                <w:t>guide for managing fatigue</w:t>
              </w:r>
            </w:hyperlink>
          </w:p>
        </w:tc>
      </w:tr>
      <w:tr w:rsidR="00381295" w:rsidRPr="00A36AC7" w14:paraId="4D45A9FC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FC789A" w14:textId="77777777" w:rsidR="00381295" w:rsidRPr="00AA4BD0" w:rsidRDefault="00381295" w:rsidP="00AA4BD0">
            <w:pPr>
              <w:pStyle w:val="HWPBODY"/>
            </w:pPr>
            <w:r w:rsidRPr="00AA4BD0">
              <w:t>Implement flexible working arrangements that better allow workers to meet their personal, occupational, and health needs.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AB808A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6F0ABF" w14:textId="77777777" w:rsidR="00381295" w:rsidRDefault="00381295" w:rsidP="003104EB">
            <w:pPr>
              <w:pStyle w:val="HWPTABLESMALL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FC0858" w14:textId="77777777" w:rsidR="00381295" w:rsidRDefault="0038129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582F7" w14:textId="450656FC" w:rsidR="00381295" w:rsidRPr="00AA4BD0" w:rsidRDefault="00D670FC" w:rsidP="00AA4BD0">
            <w:pPr>
              <w:pStyle w:val="HWPBODY"/>
            </w:pPr>
            <w:hyperlink r:id="rId16" w:anchor=":~:text=Examples%20of%20flexible%20working%20arrangements,example%2C%20working%20from%20home)." w:history="1">
              <w:r w:rsidR="00381295" w:rsidRPr="00AA4BD0">
                <w:rPr>
                  <w:rStyle w:val="Hyperlink2"/>
                </w:rPr>
                <w:t>What are flexible working arrangements?</w:t>
              </w:r>
            </w:hyperlink>
            <w:r w:rsidR="00AA4BD0">
              <w:rPr>
                <w:rStyle w:val="Hyperlink"/>
                <w:rFonts w:ascii="Century Gothic" w:hAnsi="Century Gothic"/>
                <w:color w:val="0C324C"/>
                <w:u w:val="none"/>
              </w:rPr>
              <w:t xml:space="preserve"> </w:t>
            </w:r>
            <w:r w:rsidR="00381295" w:rsidRPr="00AA4BD0">
              <w:t>– Fair Work Ombudsman</w:t>
            </w:r>
          </w:p>
          <w:p w14:paraId="5906DE10" w14:textId="77D316CE" w:rsidR="00381295" w:rsidRPr="00AA4BD0" w:rsidRDefault="00D670FC" w:rsidP="00AA4BD0">
            <w:pPr>
              <w:pStyle w:val="HWPBODY"/>
              <w:rPr>
                <w:i/>
                <w:color w:val="405090"/>
                <w:u w:val="single"/>
              </w:rPr>
            </w:pPr>
            <w:hyperlink r:id="rId17" w:history="1">
              <w:r w:rsidR="00381295" w:rsidRPr="00AA4BD0">
                <w:rPr>
                  <w:rStyle w:val="Hyperlink2"/>
                </w:rPr>
                <w:t>Flexible working arrangements - Fair Work Ombudsman</w:t>
              </w:r>
            </w:hyperlink>
          </w:p>
          <w:p w14:paraId="7781E546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18" w:history="1">
              <w:r w:rsidR="00381295" w:rsidRPr="00AA4BD0">
                <w:rPr>
                  <w:rStyle w:val="Hyperlink2"/>
                </w:rPr>
                <w:t>Flexible working arrangements Best Practice Guide (fairwork.gov.au)</w:t>
              </w:r>
            </w:hyperlink>
          </w:p>
        </w:tc>
      </w:tr>
      <w:tr w:rsidR="00381295" w:rsidRPr="00A36AC7" w14:paraId="21142F37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97169F" w14:textId="77777777" w:rsidR="00381295" w:rsidRPr="00AA4BD0" w:rsidRDefault="00381295" w:rsidP="00AA4BD0">
            <w:pPr>
              <w:pStyle w:val="HWPBODY"/>
            </w:pPr>
            <w:r w:rsidRPr="00AA4BD0">
              <w:t>Consider the importance of completely disconnecting from work and making clear distinctions between ‘work’ and ‘home’ if working remotely.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4B7EB8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493215" w14:textId="77777777" w:rsidR="00381295" w:rsidRDefault="00381295" w:rsidP="003104EB">
            <w:pPr>
              <w:pStyle w:val="HWPTABLESMALL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33647" w14:textId="77777777" w:rsidR="00381295" w:rsidRDefault="0038129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63C4C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19" w:history="1">
              <w:r w:rsidR="00381295" w:rsidRPr="00AA4BD0">
                <w:rPr>
                  <w:rStyle w:val="Hyperlink2"/>
                </w:rPr>
                <w:t>Flexible Work | Centre for Transformative Work Design</w:t>
              </w:r>
            </w:hyperlink>
          </w:p>
        </w:tc>
      </w:tr>
      <w:tr w:rsidR="00381295" w:rsidRPr="00A36AC7" w14:paraId="2D09FBA3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41145" w14:textId="77777777" w:rsidR="00381295" w:rsidRPr="00AA4BD0" w:rsidRDefault="00381295" w:rsidP="00AA4BD0">
            <w:pPr>
              <w:pStyle w:val="HWPBODY"/>
            </w:pPr>
            <w:r w:rsidRPr="00AA4BD0">
              <w:t xml:space="preserve">Provide stable/regular shifts in the casual or shift-work environment as far as reasonably practicable and with as much notice as possible. This allows </w:t>
            </w:r>
            <w:r w:rsidRPr="00AA4BD0">
              <w:lastRenderedPageBreak/>
              <w:t>workers to plan their rest and personal life obligations in advance.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F7580F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lastRenderedPageBreak/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FA290A" w14:textId="77777777" w:rsidR="00381295" w:rsidRDefault="00381295" w:rsidP="003104EB">
            <w:pPr>
              <w:pStyle w:val="HWPTABLESMALL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54C8E" w14:textId="77777777" w:rsidR="00381295" w:rsidRDefault="0038129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EB27A" w14:textId="67BF0DD0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20" w:history="1">
              <w:r w:rsidR="00381295" w:rsidRPr="00AA4BD0">
                <w:rPr>
                  <w:rStyle w:val="Hyperlink2"/>
                </w:rPr>
                <w:t>Managing shift work and workplace fatigue | Safe Work Australia</w:t>
              </w:r>
            </w:hyperlink>
          </w:p>
          <w:p w14:paraId="2AE1A1D4" w14:textId="77777777" w:rsidR="00381295" w:rsidRPr="00AA4BD0" w:rsidRDefault="00D670FC" w:rsidP="00AA4BD0">
            <w:pPr>
              <w:pStyle w:val="HWPBODY"/>
            </w:pPr>
            <w:hyperlink r:id="rId21" w:history="1">
              <w:r w:rsidR="00381295" w:rsidRPr="00AA4BD0">
                <w:rPr>
                  <w:rStyle w:val="Hyperlink2"/>
                </w:rPr>
                <w:t>How to Manage Shift work: Guide (nsw.gov.au)</w:t>
              </w:r>
            </w:hyperlink>
          </w:p>
        </w:tc>
      </w:tr>
      <w:tr w:rsidR="00381295" w:rsidRPr="00A36AC7" w14:paraId="79F0A84E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769D6" w14:textId="77777777" w:rsidR="00381295" w:rsidRPr="00A36AC7" w:rsidRDefault="00381295" w:rsidP="003104EB">
            <w:pPr>
              <w:pStyle w:val="HWPBODY"/>
              <w:rPr>
                <w:sz w:val="19"/>
                <w:szCs w:val="19"/>
              </w:rPr>
            </w:pPr>
            <w:r w:rsidRPr="00A36AC7">
              <w:rPr>
                <w:sz w:val="19"/>
                <w:szCs w:val="19"/>
              </w:rPr>
              <w:t>Encourage all staff members to use their allocated leave entitlements and ensure that there are adequate levels of staff to backfill leave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743DD6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7527C3" w14:textId="77777777" w:rsidR="00381295" w:rsidRDefault="00381295" w:rsidP="003104EB">
            <w:pPr>
              <w:pStyle w:val="HWPTABLESMALL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348C5" w14:textId="77777777" w:rsidR="00381295" w:rsidRDefault="0038129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8B7ABE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22" w:history="1">
              <w:r w:rsidR="00381295" w:rsidRPr="00AA4BD0">
                <w:rPr>
                  <w:rStyle w:val="Hyperlink2"/>
                </w:rPr>
                <w:t>Leave - Fair Work Ombudsman</w:t>
              </w:r>
            </w:hyperlink>
          </w:p>
        </w:tc>
      </w:tr>
      <w:tr w:rsidR="00381295" w:rsidRPr="00A36AC7" w14:paraId="7AD238EE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5BE03" w14:textId="77777777" w:rsidR="00381295" w:rsidRPr="00A36AC7" w:rsidRDefault="00381295" w:rsidP="003104EB">
            <w:pPr>
              <w:pStyle w:val="HWPBODY"/>
              <w:rPr>
                <w:sz w:val="19"/>
                <w:szCs w:val="19"/>
              </w:rPr>
            </w:pPr>
            <w:r w:rsidRPr="00A36AC7">
              <w:rPr>
                <w:sz w:val="19"/>
                <w:szCs w:val="19"/>
              </w:rPr>
              <w:t>Consider the types of leave afforded to your workers and how access (or lack of access) may impact fatigue levels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072E5D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8A853F" w14:textId="77777777" w:rsidR="00381295" w:rsidRDefault="00381295" w:rsidP="003104EB">
            <w:pPr>
              <w:pStyle w:val="HWPTABLESMALL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68518" w14:textId="77777777" w:rsidR="00381295" w:rsidRDefault="0038129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CE74D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23" w:history="1">
              <w:r w:rsidR="00381295" w:rsidRPr="00AA4BD0">
                <w:rPr>
                  <w:rStyle w:val="Hyperlink2"/>
                </w:rPr>
                <w:t>Leave - Fair Work Ombudsman</w:t>
              </w:r>
            </w:hyperlink>
          </w:p>
        </w:tc>
      </w:tr>
      <w:tr w:rsidR="00381295" w:rsidRPr="00A36AC7" w14:paraId="695E4C23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EF8FF" w14:textId="77777777" w:rsidR="00381295" w:rsidRPr="00A36AC7" w:rsidRDefault="00381295" w:rsidP="003104EB">
            <w:pPr>
              <w:pStyle w:val="HWPBODY"/>
              <w:rPr>
                <w:sz w:val="19"/>
                <w:szCs w:val="19"/>
              </w:rPr>
            </w:pPr>
            <w:r w:rsidRPr="00A36AC7">
              <w:rPr>
                <w:sz w:val="19"/>
                <w:szCs w:val="19"/>
              </w:rPr>
              <w:t>Make sure workers have appropriate rest/break facilities to eat and rehydrate. Factor in the work environment, like providing a cool refuge for those working in the heat or a spot for sedentary workers to get some movement and fresh air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033644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458A45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6626B" w14:textId="77777777" w:rsidR="00381295" w:rsidRDefault="00381295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A6555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24" w:history="1">
              <w:r w:rsidR="00381295" w:rsidRPr="00AA4BD0">
                <w:rPr>
                  <w:rStyle w:val="Hyperlink2"/>
                </w:rPr>
                <w:t>Model Code of Practice: Managing the work environment and facilities (safework.sa.gov.au)</w:t>
              </w:r>
            </w:hyperlink>
          </w:p>
        </w:tc>
      </w:tr>
      <w:tr w:rsidR="00381295" w:rsidRPr="00A36AC7" w14:paraId="242209BB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BC7E2" w14:textId="77777777" w:rsidR="00381295" w:rsidRPr="00A36AC7" w:rsidRDefault="00381295" w:rsidP="003104EB">
            <w:pPr>
              <w:pStyle w:val="HWPBODY"/>
              <w:rPr>
                <w:sz w:val="19"/>
                <w:szCs w:val="19"/>
              </w:rPr>
            </w:pPr>
            <w:r w:rsidRPr="00A36AC7">
              <w:rPr>
                <w:sz w:val="19"/>
                <w:szCs w:val="19"/>
              </w:rPr>
              <w:t>Educate all staff members on the risks of unmanaged fatigue and how to recognise fatigue in themselves. Use promotional materials around the workplace, toolbox meetings/in-person sessions and online learning modules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501BE5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4ADE29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986B0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4CF0E5D4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50ADD254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376AB1F7" w14:textId="77777777" w:rsidR="00381295" w:rsidRDefault="0038129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4CB992" w14:textId="79E1B6EF" w:rsidR="00381295" w:rsidRPr="00AA4BD0" w:rsidRDefault="00381295" w:rsidP="00AA4BD0">
            <w:pPr>
              <w:pStyle w:val="HWPBODY"/>
            </w:pPr>
            <w:r w:rsidRPr="00AA4BD0">
              <w:t>Fatigue Safe app - Available for free in the </w:t>
            </w:r>
            <w:hyperlink r:id="rId25" w:tgtFrame="_blank" w:history="1">
              <w:r w:rsidRPr="00AA4BD0">
                <w:rPr>
                  <w:rStyle w:val="Hyperlink2"/>
                </w:rPr>
                <w:t>Apple App Store</w:t>
              </w:r>
            </w:hyperlink>
            <w:r w:rsidRPr="00AA4BD0">
              <w:t> and the </w:t>
            </w:r>
            <w:r w:rsidRPr="00AA4BD0">
              <w:br/>
            </w:r>
            <w:hyperlink r:id="rId26" w:tgtFrame="_blank" w:history="1">
              <w:r w:rsidRPr="00AA4BD0">
                <w:rPr>
                  <w:rStyle w:val="Hyperlink2"/>
                </w:rPr>
                <w:t>Google Play store</w:t>
              </w:r>
            </w:hyperlink>
          </w:p>
          <w:p w14:paraId="3877E0AB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27" w:history="1">
              <w:r w:rsidR="00381295" w:rsidRPr="00AA4BD0">
                <w:rPr>
                  <w:rStyle w:val="Hyperlink2"/>
                </w:rPr>
                <w:t>fatigue-management-a-workers-guide.pdf (safeworkaustralia.gov.au)</w:t>
              </w:r>
            </w:hyperlink>
          </w:p>
          <w:p w14:paraId="69F2D6A9" w14:textId="77777777" w:rsidR="00381295" w:rsidRPr="00AA4BD0" w:rsidRDefault="00381295" w:rsidP="00AA4BD0">
            <w:pPr>
              <w:pStyle w:val="HWPBODY"/>
            </w:pPr>
          </w:p>
        </w:tc>
      </w:tr>
      <w:tr w:rsidR="00381295" w:rsidRPr="00A36AC7" w14:paraId="4545C350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C19D5" w14:textId="77777777" w:rsidR="00381295" w:rsidRPr="00A36AC7" w:rsidRDefault="00381295" w:rsidP="003104EB">
            <w:pPr>
              <w:pStyle w:val="HWPBODY"/>
              <w:rPr>
                <w:sz w:val="19"/>
                <w:szCs w:val="19"/>
              </w:rPr>
            </w:pPr>
            <w:r w:rsidRPr="00A36AC7">
              <w:rPr>
                <w:sz w:val="19"/>
                <w:szCs w:val="19"/>
              </w:rPr>
              <w:t xml:space="preserve">Educate all staff on the importance </w:t>
            </w:r>
            <w:r>
              <w:rPr>
                <w:sz w:val="19"/>
                <w:szCs w:val="19"/>
              </w:rPr>
              <w:br/>
            </w:r>
            <w:r w:rsidRPr="00A36AC7">
              <w:rPr>
                <w:sz w:val="19"/>
                <w:szCs w:val="19"/>
              </w:rPr>
              <w:t xml:space="preserve">of obtaining adequate sleep/rest and </w:t>
            </w:r>
            <w:r w:rsidRPr="00A36AC7">
              <w:rPr>
                <w:sz w:val="19"/>
                <w:szCs w:val="19"/>
              </w:rPr>
              <w:lastRenderedPageBreak/>
              <w:t xml:space="preserve">provide them with resources and strategies to achieve this, such as sleep/relaxation apps, or access to professional help for physical or </w:t>
            </w:r>
            <w:r>
              <w:rPr>
                <w:sz w:val="19"/>
                <w:szCs w:val="19"/>
              </w:rPr>
              <w:br/>
            </w:r>
            <w:r w:rsidRPr="00A36AC7">
              <w:rPr>
                <w:sz w:val="19"/>
                <w:szCs w:val="19"/>
              </w:rPr>
              <w:t>mental health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7E47C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65364B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0E5DC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72DF2A9F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7672FFC8" w14:textId="77777777" w:rsidR="00381295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34CB9CC2" w14:textId="77777777" w:rsidR="00381295" w:rsidRDefault="00381295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72F2A" w14:textId="12569B42" w:rsidR="00381295" w:rsidRPr="00AA4BD0" w:rsidRDefault="00D670FC" w:rsidP="00AA4BD0">
            <w:pPr>
              <w:pStyle w:val="HWPBODY"/>
            </w:pPr>
            <w:hyperlink r:id="rId28" w:history="1">
              <w:r w:rsidR="00381295" w:rsidRPr="00AA4BD0">
                <w:rPr>
                  <w:rStyle w:val="Hyperlink2"/>
                </w:rPr>
                <w:t>Sleep Health Foundation</w:t>
              </w:r>
            </w:hyperlink>
            <w:r w:rsidR="00381295" w:rsidRPr="00AA4BD0">
              <w:t xml:space="preserve"> has information and resources on sleep</w:t>
            </w:r>
          </w:p>
          <w:p w14:paraId="029A90F2" w14:textId="51547377" w:rsidR="00381295" w:rsidRPr="00AA4BD0" w:rsidRDefault="00D670FC" w:rsidP="00AA4BD0">
            <w:pPr>
              <w:pStyle w:val="HWPBODY"/>
            </w:pPr>
            <w:hyperlink r:id="rId29" w:history="1">
              <w:r w:rsidR="00381295" w:rsidRPr="00AA4BD0">
                <w:rPr>
                  <w:rStyle w:val="Hyperlink2"/>
                </w:rPr>
                <w:t>This Way Up</w:t>
              </w:r>
              <w:r w:rsidR="00381295" w:rsidRPr="00AA4BD0">
                <w:rPr>
                  <w:rStyle w:val="Hyperlink"/>
                  <w:rFonts w:ascii="Century Gothic" w:hAnsi="Century Gothic"/>
                  <w:color w:val="0C324C"/>
                  <w:u w:val="none"/>
                </w:rPr>
                <w:t xml:space="preserve"> </w:t>
              </w:r>
              <w:r w:rsidR="00AA4BD0">
                <w:rPr>
                  <w:rStyle w:val="Hyperlink"/>
                  <w:rFonts w:ascii="Century Gothic" w:hAnsi="Century Gothic"/>
                  <w:color w:val="0C324C"/>
                </w:rPr>
                <w:t>–</w:t>
              </w:r>
            </w:hyperlink>
            <w:r w:rsidR="00AA4BD0">
              <w:rPr>
                <w:rStyle w:val="Hyperlink"/>
                <w:rFonts w:ascii="Century Gothic" w:hAnsi="Century Gothic"/>
                <w:color w:val="0C324C"/>
                <w:u w:val="none"/>
              </w:rPr>
              <w:t xml:space="preserve"> </w:t>
            </w:r>
            <w:r w:rsidR="00381295" w:rsidRPr="00AA4BD0">
              <w:t>step-by-step strategies for managing chronic sleep difficulties with our practical and free online program for insomnia</w:t>
            </w:r>
          </w:p>
          <w:p w14:paraId="577441ED" w14:textId="4B05E0F7" w:rsidR="00381295" w:rsidRPr="00AA4BD0" w:rsidRDefault="00381295" w:rsidP="00AA4BD0">
            <w:pPr>
              <w:pStyle w:val="HWPBODY"/>
            </w:pPr>
            <w:r w:rsidRPr="00AA4BD0">
              <w:t xml:space="preserve">Parents with kids – </w:t>
            </w:r>
            <w:hyperlink r:id="rId30" w:history="1">
              <w:r w:rsidRPr="00AA4BD0">
                <w:rPr>
                  <w:rStyle w:val="Hyperlink2"/>
                </w:rPr>
                <w:t>provide the sleep 0-6 parent Easy Guide</w:t>
              </w:r>
            </w:hyperlink>
            <w:r w:rsidRPr="00AA4BD0">
              <w:rPr>
                <w:rStyle w:val="Hyperlink2"/>
              </w:rPr>
              <w:t xml:space="preserve"> </w:t>
            </w:r>
          </w:p>
          <w:p w14:paraId="26D49ADC" w14:textId="3B94322E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31" w:history="1">
              <w:r w:rsidR="00381295" w:rsidRPr="00AA4BD0">
                <w:rPr>
                  <w:rStyle w:val="Hyperlink2"/>
                </w:rPr>
                <w:t>App — Smiling Mind</w:t>
              </w:r>
            </w:hyperlink>
          </w:p>
        </w:tc>
      </w:tr>
      <w:tr w:rsidR="00381295" w:rsidRPr="00A36AC7" w14:paraId="140B0DF5" w14:textId="77777777" w:rsidTr="003104EB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2A24A" w14:textId="77777777" w:rsidR="00381295" w:rsidRPr="00A36AC7" w:rsidRDefault="00381295" w:rsidP="003104EB">
            <w:pPr>
              <w:pStyle w:val="HWPBODY"/>
              <w:rPr>
                <w:sz w:val="19"/>
                <w:szCs w:val="19"/>
              </w:rPr>
            </w:pPr>
            <w:r w:rsidRPr="00A36AC7">
              <w:rPr>
                <w:sz w:val="19"/>
                <w:szCs w:val="19"/>
              </w:rPr>
              <w:lastRenderedPageBreak/>
              <w:t>Help workers who report struggling with sleep/fatigue – this may include making reasonable adjustments to their work and time for specialist appointments including sleep studies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F8BCA4" w14:textId="77777777" w:rsidR="00381295" w:rsidRPr="006D476F" w:rsidRDefault="00381295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698532" w14:textId="77777777" w:rsidR="00381295" w:rsidRDefault="00381295" w:rsidP="003104EB">
            <w:pPr>
              <w:pStyle w:val="HWPTABLESMALL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789B0" w14:textId="77777777" w:rsidR="00381295" w:rsidRDefault="00381295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F68DA8" w14:textId="4C3D2E3F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32" w:history="1">
              <w:r w:rsidR="00381295" w:rsidRPr="00AA4BD0">
                <w:rPr>
                  <w:rStyle w:val="Hyperlink2"/>
                </w:rPr>
                <w:t>Online Programs &amp; Tools for Your Mental Health | THIS WAY UP</w:t>
              </w:r>
            </w:hyperlink>
            <w:r w:rsidR="00381295" w:rsidRPr="00AA4BD0">
              <w:rPr>
                <w:rStyle w:val="Hyperlink2"/>
              </w:rPr>
              <w:t xml:space="preserve">  </w:t>
            </w:r>
          </w:p>
          <w:p w14:paraId="6A393585" w14:textId="6223FA48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33" w:history="1">
              <w:r w:rsidR="00381295" w:rsidRPr="00AA4BD0">
                <w:rPr>
                  <w:rStyle w:val="Hyperlink2"/>
                </w:rPr>
                <w:t>FREE Insomnia Treatment Program| THIS WAY UP</w:t>
              </w:r>
            </w:hyperlink>
            <w:hyperlink r:id="rId34" w:history="1">
              <w:r w:rsidR="00381295" w:rsidRPr="00AA4BD0">
                <w:rPr>
                  <w:rStyle w:val="Hyperlink2"/>
                </w:rPr>
                <w:t>myCompass - MyCompass</w:t>
              </w:r>
            </w:hyperlink>
          </w:p>
          <w:p w14:paraId="0748D510" w14:textId="19457C5E" w:rsidR="00381295" w:rsidRPr="00AA4BD0" w:rsidRDefault="00D670FC" w:rsidP="00AA4BD0">
            <w:pPr>
              <w:pStyle w:val="HWPBODY"/>
            </w:pPr>
            <w:hyperlink r:id="rId35" w:history="1">
              <w:r w:rsidR="00381295" w:rsidRPr="00AA4BD0">
                <w:rPr>
                  <w:rStyle w:val="Hyperlink2"/>
                </w:rPr>
                <w:t>MindSpot Clinic - Free Online Mental Health Support</w:t>
              </w:r>
            </w:hyperlink>
            <w:r w:rsidR="00381295" w:rsidRPr="00AA4BD0">
              <w:t xml:space="preserve"> – Sleep habits</w:t>
            </w:r>
          </w:p>
          <w:p w14:paraId="10226F0D" w14:textId="77777777" w:rsidR="00381295" w:rsidRPr="00AA4BD0" w:rsidRDefault="00D670FC" w:rsidP="00AA4BD0">
            <w:pPr>
              <w:pStyle w:val="HWPBODY"/>
              <w:rPr>
                <w:rStyle w:val="Hyperlink2"/>
              </w:rPr>
            </w:pPr>
            <w:hyperlink r:id="rId36" w:history="1">
              <w:r w:rsidR="00381295" w:rsidRPr="00AA4BD0">
                <w:rPr>
                  <w:rStyle w:val="Hyperlink2"/>
                </w:rPr>
                <w:t>Sleep-fatigue-and-stress-in-healthcare-workers.pdf (blackdoginstitute.org.au)</w:t>
              </w:r>
            </w:hyperlink>
          </w:p>
        </w:tc>
      </w:tr>
    </w:tbl>
    <w:p w14:paraId="26D101FC" w14:textId="77777777" w:rsidR="00C432AB" w:rsidRDefault="00C432AB" w:rsidP="001A17A0">
      <w:pPr>
        <w:pStyle w:val="HWPTITLE"/>
      </w:pPr>
    </w:p>
    <w:sectPr w:rsidR="00C432AB" w:rsidSect="005A2378">
      <w:headerReference w:type="default" r:id="rId37"/>
      <w:footerReference w:type="default" r:id="rId38"/>
      <w:headerReference w:type="first" r:id="rId39"/>
      <w:pgSz w:w="16840" w:h="11900" w:orient="landscape"/>
      <w:pgMar w:top="2268" w:right="567" w:bottom="175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A2FA" w14:textId="77777777" w:rsidR="00D5595C" w:rsidRDefault="00D5595C" w:rsidP="00705BC3">
      <w:r>
        <w:separator/>
      </w:r>
    </w:p>
  </w:endnote>
  <w:endnote w:type="continuationSeparator" w:id="0">
    <w:p w14:paraId="1ABABF20" w14:textId="77777777" w:rsidR="00D5595C" w:rsidRDefault="00D5595C" w:rsidP="007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Pro">
    <w:altName w:val="Bahnschrift Light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1681" w14:textId="4949A2BE" w:rsidR="00E60491" w:rsidRDefault="00E6049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BC3A63" wp14:editId="1583C741">
              <wp:simplePos x="0" y="0"/>
              <wp:positionH relativeFrom="column">
                <wp:posOffset>9694545</wp:posOffset>
              </wp:positionH>
              <wp:positionV relativeFrom="paragraph">
                <wp:posOffset>-209146</wp:posOffset>
              </wp:positionV>
              <wp:extent cx="390770" cy="491832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0" cy="491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855C0" w14:textId="16CFEFE5" w:rsidR="00E60491" w:rsidRPr="007B037C" w:rsidRDefault="00E60491" w:rsidP="00E60491">
                          <w:pPr>
                            <w:rPr>
                              <w:rFonts w:ascii="Century Gothic Pro" w:hAnsi="Century Gothic Pr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B03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ab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D670FC">
                            <w:rPr>
                              <w:rFonts w:ascii="Century Gothic Pro" w:hAnsi="Century Gothic Pro" w:cs="Times New Roma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2</w: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C3A6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63.35pt;margin-top:-16.45pt;width:30.75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" filled="f" stroked="f" strokeweight=".5pt">
              <v:textbox>
                <w:txbxContent>
                  <w:p w14:paraId="4BD855C0" w14:textId="16CFEFE5" w:rsidR="00E60491" w:rsidRPr="007B037C" w:rsidRDefault="00E60491" w:rsidP="00E60491">
                    <w:pPr>
                      <w:rPr>
                        <w:rFonts w:ascii="Century Gothic Pro" w:hAnsi="Century Gothic Pr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B037C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lang w:val="en-GB"/>
                      </w:rPr>
                      <w:tab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instrText xml:space="preserve"> PAGE </w:instrTex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D670FC">
                      <w:rPr>
                        <w:rFonts w:ascii="Century Gothic Pro" w:hAnsi="Century Gothic Pro" w:cs="Times New Roman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GB"/>
                      </w:rPr>
                      <w:t>2</w: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16EE" w14:textId="77777777" w:rsidR="00D5595C" w:rsidRDefault="00D5595C" w:rsidP="00705BC3">
      <w:r>
        <w:separator/>
      </w:r>
    </w:p>
  </w:footnote>
  <w:footnote w:type="continuationSeparator" w:id="0">
    <w:p w14:paraId="354748F9" w14:textId="77777777" w:rsidR="00D5595C" w:rsidRDefault="00D5595C" w:rsidP="0070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CB0E" w14:textId="780DECFD" w:rsidR="00341014" w:rsidRDefault="00341014">
    <w:r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77F71C46" wp14:editId="2414A90D">
          <wp:simplePos x="0" y="0"/>
          <wp:positionH relativeFrom="column">
            <wp:posOffset>-357505</wp:posOffset>
          </wp:positionH>
          <wp:positionV relativeFrom="paragraph">
            <wp:posOffset>-449580</wp:posOffset>
          </wp:positionV>
          <wp:extent cx="10692000" cy="7560000"/>
          <wp:effectExtent l="0" t="0" r="190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6F96" w14:textId="3C175061" w:rsidR="002E42BB" w:rsidRDefault="00341014"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684F2F0B" wp14:editId="591734EB">
          <wp:simplePos x="0" y="0"/>
          <wp:positionH relativeFrom="margin">
            <wp:posOffset>-363220</wp:posOffset>
          </wp:positionH>
          <wp:positionV relativeFrom="paragraph">
            <wp:posOffset>-450215</wp:posOffset>
          </wp:positionV>
          <wp:extent cx="10692000" cy="7560000"/>
          <wp:effectExtent l="0" t="0" r="1905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D127B37"/>
    <w:multiLevelType w:val="hybridMultilevel"/>
    <w:tmpl w:val="9A0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AC4DC2"/>
    <w:multiLevelType w:val="multilevel"/>
    <w:tmpl w:val="4F865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3E25C4"/>
    <w:multiLevelType w:val="hybridMultilevel"/>
    <w:tmpl w:val="18C0D07C"/>
    <w:lvl w:ilvl="0" w:tplc="D0422C66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600C9A"/>
    <w:multiLevelType w:val="hybridMultilevel"/>
    <w:tmpl w:val="4F86525E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6802D8"/>
    <w:multiLevelType w:val="hybridMultilevel"/>
    <w:tmpl w:val="92DC6426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F77D1"/>
    <w:multiLevelType w:val="multilevel"/>
    <w:tmpl w:val="18C0D0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E94AFF"/>
    <w:multiLevelType w:val="hybridMultilevel"/>
    <w:tmpl w:val="A7E21EB6"/>
    <w:lvl w:ilvl="0" w:tplc="B53E9DDE">
      <w:start w:val="1"/>
      <w:numFmt w:val="bullet"/>
      <w:pStyle w:val="HWPBULLET"/>
      <w:lvlText w:val=""/>
      <w:lvlJc w:val="left"/>
      <w:pPr>
        <w:ind w:left="170" w:hanging="17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9F1C15"/>
    <w:multiLevelType w:val="hybridMultilevel"/>
    <w:tmpl w:val="351E5162"/>
    <w:lvl w:ilvl="0" w:tplc="A2D8B1C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3"/>
    <w:rsid w:val="00004ED8"/>
    <w:rsid w:val="00007937"/>
    <w:rsid w:val="0002495D"/>
    <w:rsid w:val="00070094"/>
    <w:rsid w:val="00071FFF"/>
    <w:rsid w:val="001714D8"/>
    <w:rsid w:val="0019074B"/>
    <w:rsid w:val="001A17A0"/>
    <w:rsid w:val="001C07E8"/>
    <w:rsid w:val="001F2EE7"/>
    <w:rsid w:val="002605A8"/>
    <w:rsid w:val="00260AAC"/>
    <w:rsid w:val="00263C1B"/>
    <w:rsid w:val="00264D81"/>
    <w:rsid w:val="002723A8"/>
    <w:rsid w:val="00277343"/>
    <w:rsid w:val="002C1747"/>
    <w:rsid w:val="002D2420"/>
    <w:rsid w:val="002E42BB"/>
    <w:rsid w:val="002F4A20"/>
    <w:rsid w:val="00341014"/>
    <w:rsid w:val="003472AC"/>
    <w:rsid w:val="00376234"/>
    <w:rsid w:val="00381295"/>
    <w:rsid w:val="00382F35"/>
    <w:rsid w:val="00427A02"/>
    <w:rsid w:val="00436316"/>
    <w:rsid w:val="00447CFF"/>
    <w:rsid w:val="00491274"/>
    <w:rsid w:val="004A390F"/>
    <w:rsid w:val="004C7502"/>
    <w:rsid w:val="00515F80"/>
    <w:rsid w:val="0051711E"/>
    <w:rsid w:val="0053693D"/>
    <w:rsid w:val="005A2378"/>
    <w:rsid w:val="005B13DA"/>
    <w:rsid w:val="00605C4D"/>
    <w:rsid w:val="00623AC8"/>
    <w:rsid w:val="00625352"/>
    <w:rsid w:val="00687136"/>
    <w:rsid w:val="006A4A49"/>
    <w:rsid w:val="006D476F"/>
    <w:rsid w:val="00705BC3"/>
    <w:rsid w:val="00727CD1"/>
    <w:rsid w:val="00761519"/>
    <w:rsid w:val="00763BB9"/>
    <w:rsid w:val="007A0A54"/>
    <w:rsid w:val="007B037C"/>
    <w:rsid w:val="007F0DCB"/>
    <w:rsid w:val="008618FC"/>
    <w:rsid w:val="008D1BF6"/>
    <w:rsid w:val="009210FF"/>
    <w:rsid w:val="00933692"/>
    <w:rsid w:val="00940231"/>
    <w:rsid w:val="0095743C"/>
    <w:rsid w:val="009659FD"/>
    <w:rsid w:val="009E3130"/>
    <w:rsid w:val="00A20107"/>
    <w:rsid w:val="00A21375"/>
    <w:rsid w:val="00A652BD"/>
    <w:rsid w:val="00AA4BD0"/>
    <w:rsid w:val="00AC3E21"/>
    <w:rsid w:val="00AD553B"/>
    <w:rsid w:val="00AD5E3B"/>
    <w:rsid w:val="00B022D8"/>
    <w:rsid w:val="00B36E3A"/>
    <w:rsid w:val="00BD4523"/>
    <w:rsid w:val="00C30363"/>
    <w:rsid w:val="00C432AB"/>
    <w:rsid w:val="00C505E5"/>
    <w:rsid w:val="00C92DC7"/>
    <w:rsid w:val="00CC080B"/>
    <w:rsid w:val="00CC219E"/>
    <w:rsid w:val="00D04C69"/>
    <w:rsid w:val="00D5595C"/>
    <w:rsid w:val="00D670FC"/>
    <w:rsid w:val="00DC71FD"/>
    <w:rsid w:val="00E23F5E"/>
    <w:rsid w:val="00E60491"/>
    <w:rsid w:val="00E92E5F"/>
    <w:rsid w:val="00E9692F"/>
    <w:rsid w:val="00EC59E4"/>
    <w:rsid w:val="00ED0093"/>
    <w:rsid w:val="00EF47CF"/>
    <w:rsid w:val="00F4552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80DA3"/>
  <w15:chartTrackingRefBased/>
  <w15:docId w15:val="{43AC616B-4F2A-5348-A938-4832D28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qFormat/>
    <w:rsid w:val="00C505E5"/>
    <w:pPr>
      <w:tabs>
        <w:tab w:val="left" w:pos="2960"/>
      </w:tabs>
      <w:autoSpaceDE w:val="0"/>
      <w:autoSpaceDN w:val="0"/>
      <w:adjustRightInd w:val="0"/>
      <w:spacing w:after="60"/>
      <w:textAlignment w:val="center"/>
    </w:pPr>
    <w:rPr>
      <w:rFonts w:ascii="Calibri" w:hAnsi="Calibri" w:cs="Calibri"/>
      <w:b/>
      <w:bCs/>
      <w:color w:val="FFFFFF" w:themeColor="background1"/>
      <w:sz w:val="26"/>
      <w:szCs w:val="26"/>
      <w:lang w:val="en-US"/>
      <w14:textOutline w14:w="9525" w14:cap="flat" w14:cmpd="sng" w14:algn="ctr">
        <w14:noFill/>
        <w14:prstDash w14:val="solid"/>
        <w14:round/>
      </w14:textOutline>
    </w:rPr>
  </w:style>
  <w:style w:type="character" w:styleId="Hyperlink">
    <w:name w:val="Hyperlink"/>
    <w:uiPriority w:val="99"/>
    <w:unhideWhenUsed/>
    <w:rsid w:val="00381295"/>
    <w:rPr>
      <w:rFonts w:ascii="Arial" w:hAnsi="Arial"/>
      <w:color w:val="0092CF"/>
      <w:sz w:val="20"/>
      <w:u w:val="single"/>
    </w:rPr>
  </w:style>
  <w:style w:type="paragraph" w:customStyle="1" w:styleId="BodyCopy">
    <w:name w:val="Body Copy"/>
    <w:basedOn w:val="Normal"/>
    <w:qFormat/>
    <w:rsid w:val="00C505E5"/>
    <w:pPr>
      <w:autoSpaceDE w:val="0"/>
      <w:autoSpaceDN w:val="0"/>
      <w:adjustRightInd w:val="0"/>
      <w:textAlignment w:val="center"/>
    </w:pPr>
    <w:rPr>
      <w:rFonts w:ascii="Calibri" w:hAnsi="Calibri" w:cs="Calibri"/>
      <w:color w:val="4B4F5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5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5E"/>
    <w:rPr>
      <w:rFonts w:ascii="Times New Roman" w:eastAsiaTheme="minorEastAsia" w:hAnsi="Times New Roman" w:cs="Times New Roman"/>
      <w:sz w:val="18"/>
      <w:szCs w:val="18"/>
    </w:rPr>
  </w:style>
  <w:style w:type="paragraph" w:customStyle="1" w:styleId="HWPTITLE">
    <w:name w:val="HWP TITLE"/>
    <w:basedOn w:val="Normal"/>
    <w:qFormat/>
    <w:rsid w:val="00004ED8"/>
    <w:rPr>
      <w:rFonts w:ascii="Century Gothic Pro" w:hAnsi="Century Gothic Pro" w:cs="Times New Roman (Body CS)"/>
      <w:b/>
      <w:bCs/>
      <w:color w:val="475AA8"/>
      <w:sz w:val="60"/>
    </w:rPr>
  </w:style>
  <w:style w:type="paragraph" w:customStyle="1" w:styleId="HWPINTROTEXT">
    <w:name w:val="HWP INTRO TEXT"/>
    <w:basedOn w:val="Normal"/>
    <w:qFormat/>
    <w:rsid w:val="005A2378"/>
    <w:pPr>
      <w:spacing w:line="336" w:lineRule="exact"/>
    </w:pPr>
    <w:rPr>
      <w:rFonts w:ascii="Century Gothic Pro" w:hAnsi="Century Gothic Pro" w:cs="Times New Roman (Body CS)"/>
      <w:b/>
      <w:color w:val="405090"/>
      <w:sz w:val="28"/>
    </w:rPr>
  </w:style>
  <w:style w:type="paragraph" w:customStyle="1" w:styleId="HWPSMALLHEADING">
    <w:name w:val="HWP SMALL HEADING"/>
    <w:basedOn w:val="Normal"/>
    <w:qFormat/>
    <w:rsid w:val="00004ED8"/>
    <w:pPr>
      <w:spacing w:line="216" w:lineRule="exact"/>
    </w:pPr>
    <w:rPr>
      <w:rFonts w:ascii="Century Gothic Pro" w:hAnsi="Century Gothic Pro" w:cs="Times New Roman (Body CS)"/>
      <w:b/>
      <w:caps/>
      <w:color w:val="475AA8"/>
      <w:spacing w:val="10"/>
      <w:sz w:val="18"/>
    </w:rPr>
  </w:style>
  <w:style w:type="paragraph" w:customStyle="1" w:styleId="HWPBODY">
    <w:name w:val="HWP BODY"/>
    <w:basedOn w:val="Normal"/>
    <w:qFormat/>
    <w:rsid w:val="00AA4BD0"/>
    <w:pPr>
      <w:spacing w:after="120" w:line="240" w:lineRule="exact"/>
    </w:pPr>
    <w:rPr>
      <w:rFonts w:ascii="Century Gothic" w:hAnsi="Century Gothic" w:cs="Times New Roman (Body CS)"/>
      <w:color w:val="0C324C"/>
      <w:sz w:val="20"/>
    </w:rPr>
  </w:style>
  <w:style w:type="table" w:styleId="TableGrid">
    <w:name w:val="Table Grid"/>
    <w:basedOn w:val="TableNormal"/>
    <w:uiPriority w:val="39"/>
    <w:rsid w:val="0000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PBULLET">
    <w:name w:val="HWP BULLET"/>
    <w:basedOn w:val="Normal"/>
    <w:qFormat/>
    <w:rsid w:val="00761519"/>
    <w:pPr>
      <w:numPr>
        <w:numId w:val="8"/>
      </w:numPr>
      <w:spacing w:line="240" w:lineRule="exact"/>
      <w:contextualSpacing/>
    </w:pPr>
    <w:rPr>
      <w:rFonts w:ascii="Century Gothic Pro" w:hAnsi="Century Gothic Pro" w:cs="Times New Roman (Body CS)"/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05C4D"/>
  </w:style>
  <w:style w:type="paragraph" w:customStyle="1" w:styleId="HWPTABLEHEADER">
    <w:name w:val="HWP TABLE HEADER"/>
    <w:basedOn w:val="HWPSMALLHEADING"/>
    <w:qFormat/>
    <w:rsid w:val="00EF47CF"/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447CFF"/>
    <w:rPr>
      <w:color w:val="954F72" w:themeColor="followedHyperlink"/>
      <w:u w:val="single"/>
    </w:rPr>
  </w:style>
  <w:style w:type="table" w:styleId="TableGrid1">
    <w:name w:val="Table Grid 1"/>
    <w:basedOn w:val="TableNormal"/>
    <w:uiPriority w:val="99"/>
    <w:semiHidden/>
    <w:unhideWhenUsed/>
    <w:rsid w:val="0051711E"/>
    <w:pPr>
      <w:spacing w:after="151" w:line="24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WPHYPERLINK">
    <w:name w:val="HWP HYPERLINK"/>
    <w:basedOn w:val="HWPBODY"/>
    <w:qFormat/>
    <w:rsid w:val="005A2378"/>
    <w:pPr>
      <w:spacing w:after="80"/>
    </w:pPr>
    <w:rPr>
      <w:i/>
      <w:color w:val="475AA8"/>
      <w:u w:val="single"/>
    </w:rPr>
  </w:style>
  <w:style w:type="paragraph" w:customStyle="1" w:styleId="HWPTABLESMALL">
    <w:name w:val="HWP TABLE SMALL"/>
    <w:basedOn w:val="HWPBODY"/>
    <w:qFormat/>
    <w:rsid w:val="0051711E"/>
    <w:rPr>
      <w:sz w:val="18"/>
      <w:szCs w:val="18"/>
    </w:rPr>
  </w:style>
  <w:style w:type="table" w:customStyle="1" w:styleId="SAHealthTable2">
    <w:name w:val="SA Health Table 2"/>
    <w:basedOn w:val="TableNormal"/>
    <w:uiPriority w:val="99"/>
    <w:rsid w:val="00A21375"/>
    <w:pPr>
      <w:jc w:val="right"/>
    </w:pPr>
    <w:rPr>
      <w:rFonts w:ascii="Arial" w:eastAsia="Calibri" w:hAnsi="Arial" w:cs="Times New Roman"/>
      <w:sz w:val="20"/>
      <w:szCs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5F80"/>
    <w:rPr>
      <w:color w:val="605E5C"/>
      <w:shd w:val="clear" w:color="auto" w:fill="E1DFDD"/>
    </w:rPr>
  </w:style>
  <w:style w:type="character" w:customStyle="1" w:styleId="Hyperlink2">
    <w:name w:val="Hyperlink 2"/>
    <w:basedOn w:val="DefaultParagraphFont"/>
    <w:uiPriority w:val="1"/>
    <w:qFormat/>
    <w:rsid w:val="00761519"/>
    <w:rPr>
      <w:i/>
      <w:color w:val="4050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workaustralia.gov.au/doc/guide-managing-risk-fatigue-work" TargetMode="External"/><Relationship Id="rId13" Type="http://schemas.openxmlformats.org/officeDocument/2006/relationships/hyperlink" Target="https://www.ausmed.com.au/cpd/articles/nurses-fatigue" TargetMode="External"/><Relationship Id="rId18" Type="http://schemas.openxmlformats.org/officeDocument/2006/relationships/hyperlink" Target="https://www.fairwork.gov.au/sites/default/files/migration/711/flexible-working-arrangements-best-practice-guide.pdf" TargetMode="External"/><Relationship Id="rId26" Type="http://schemas.openxmlformats.org/officeDocument/2006/relationships/hyperlink" Target="https://play.google.com/store/apps/details?id=au.com.integratedsafety.fatiguesafe.android&amp;hl=en_AU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afework.nsw.gov.au/__data/assets/pdf_file/0016/50065/how_to_manage_shiftwork_guide_0224.pdf" TargetMode="External"/><Relationship Id="rId34" Type="http://schemas.openxmlformats.org/officeDocument/2006/relationships/hyperlink" Target="https://www.mycompass.org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ashhealth.org/wp-content/uploads/2020/03/Health-worker-fatigue_Scoping-Review2019_FINAL.pdf" TargetMode="External"/><Relationship Id="rId17" Type="http://schemas.openxmlformats.org/officeDocument/2006/relationships/hyperlink" Target="https://www.fairwork.gov.au/tools-and-resources/best-practice-guides/flexible-working-arrangements" TargetMode="External"/><Relationship Id="rId25" Type="http://schemas.openxmlformats.org/officeDocument/2006/relationships/hyperlink" Target="https://apps.apple.com/au/app/fatiguesafe/id1401709600" TargetMode="External"/><Relationship Id="rId33" Type="http://schemas.openxmlformats.org/officeDocument/2006/relationships/hyperlink" Target="https://thiswayup.org.au/programs/insomnia-program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irwork.gov.au/employment-conditions/flexibility-in-the-workplace/flexible-working-arrangements" TargetMode="External"/><Relationship Id="rId20" Type="http://schemas.openxmlformats.org/officeDocument/2006/relationships/hyperlink" Target="https://www.safeworkaustralia.gov.au/resources-and-publications/video-and-audio/managing-shift-work-and-workplace-fatigue" TargetMode="External"/><Relationship Id="rId29" Type="http://schemas.openxmlformats.org/officeDocument/2006/relationships/hyperlink" Target="https://thiswayup.org.au/programs/insomnia-progra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ework.sa.gov.au/__data/assets/pdf_file/0005/140666/Emergency_services_guideline_for_risk_managing_fatigue.pdf" TargetMode="External"/><Relationship Id="rId24" Type="http://schemas.openxmlformats.org/officeDocument/2006/relationships/hyperlink" Target="https://www.safework.sa.gov.au/__data/assets/pdf_file/0007/136276/Managing-the-work-environment-and-facilities.pdf" TargetMode="External"/><Relationship Id="rId32" Type="http://schemas.openxmlformats.org/officeDocument/2006/relationships/hyperlink" Target="https://thiswayup.org.au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atiguetech.ethoshealth.com.au/survey/1bd2e84e-dea4-4c28-bdf1-12066487a588" TargetMode="External"/><Relationship Id="rId23" Type="http://schemas.openxmlformats.org/officeDocument/2006/relationships/hyperlink" Target="https://www.fairwork.gov.au/leave" TargetMode="External"/><Relationship Id="rId28" Type="http://schemas.openxmlformats.org/officeDocument/2006/relationships/hyperlink" Target="http://www.sleephealthfoundation.org.au/" TargetMode="External"/><Relationship Id="rId36" Type="http://schemas.openxmlformats.org/officeDocument/2006/relationships/hyperlink" Target="https://www.blackdoginstitute.org.au/wp-content/uploads/2022/08/Sleep-fatigue-and-stress-in-healthcare-workers.pdf" TargetMode="External"/><Relationship Id="rId10" Type="http://schemas.openxmlformats.org/officeDocument/2006/relationships/hyperlink" Target="https://www.onrsr.com.au/safety-essentials/managing-fatigue" TargetMode="External"/><Relationship Id="rId19" Type="http://schemas.openxmlformats.org/officeDocument/2006/relationships/hyperlink" Target="https://www.transformativeworkdesign.com/flexible-work" TargetMode="External"/><Relationship Id="rId31" Type="http://schemas.openxmlformats.org/officeDocument/2006/relationships/hyperlink" Target="https://www.smilingmind.com.au/smiling-mind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vr.gov.au/safety-accreditation-compliance/fatigue-management" TargetMode="External"/><Relationship Id="rId14" Type="http://schemas.openxmlformats.org/officeDocument/2006/relationships/hyperlink" Target="https://www.ohsbok.org.au/wp-content/uploads/2020/05/20-Fatigue.pdf" TargetMode="External"/><Relationship Id="rId22" Type="http://schemas.openxmlformats.org/officeDocument/2006/relationships/hyperlink" Target="https://www.fairwork.gov.au/leave" TargetMode="External"/><Relationship Id="rId27" Type="http://schemas.openxmlformats.org/officeDocument/2006/relationships/hyperlink" Target="https://www.safeworkaustralia.gov.au/system/files/documents/1702/fatigue-management-a-workers-guide.pdf" TargetMode="External"/><Relationship Id="rId30" Type="http://schemas.openxmlformats.org/officeDocument/2006/relationships/hyperlink" Target="https://parenting.sa.gov.au/easy-guides/sleep-0-to-6-years-parent-easy-guide" TargetMode="External"/><Relationship Id="rId35" Type="http://schemas.openxmlformats.org/officeDocument/2006/relationships/hyperlink" Target="https://resources.mindspot.org.au/MindSpot_Healthy-sleep-habit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C447DF-1B91-44A6-BF02-B20F0601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590</Words>
  <Characters>3686</Characters>
  <Application>Microsoft Office Word</Application>
  <DocSecurity>0</DocSecurity>
  <Lines>159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Fatigue Resource Referral Guide</dc:title>
  <dc:subject/>
  <dc:creator>Wellbeing SA</dc:creator>
  <cp:keywords/>
  <dc:description/>
  <cp:lastModifiedBy>Holt, Shirley</cp:lastModifiedBy>
  <cp:revision>4</cp:revision>
  <cp:lastPrinted>2022-12-15T00:48:00Z</cp:lastPrinted>
  <dcterms:created xsi:type="dcterms:W3CDTF">2023-05-10T05:50:00Z</dcterms:created>
  <dcterms:modified xsi:type="dcterms:W3CDTF">2023-05-29T06:14:00Z</dcterms:modified>
</cp:coreProperties>
</file>